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PROCON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 Desbloqueio de senha da nota fiscal paulista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 - PROCON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Para os usuários do sistema da Nota Fiscal Paulista que tenham tido a sua senha bloqueada o desbloqueio deve ser realizado exclusivamente no PROCON.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O titular do CPF.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Após se recadastrar no sistema.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 , REQUISITOS E DOCUMENTOS NECESSÁRIOS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 xml:space="preserve"> </w:t>
      </w:r>
      <w:r>
        <w:rPr>
          <w:rFonts w:eastAsia="Times New Roman" w:cs="Calibri" w:cstheme="minorHAnsi"/>
          <w:sz w:val="20"/>
          <w:szCs w:val="20"/>
          <w:lang w:eastAsia="pt-BR"/>
        </w:rPr>
        <w:t>Xerox do RG e CPF, com apresentação do original;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Requerimento preenchido, datado e assinado pelo requerente.(disponível no item anexos);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Procon 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 xml:space="preserve"> quinta feira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sextas-feiras são realizadas as audiências de conciliação e serviços internos.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Serviço de conclusão imediata.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Tel:(19) 3641-9032;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  <w:t>Email: procon@vgsul.sp.gov.br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 e Fundação Procon SP.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Resolução SF nº82/2010.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OBSERVAÇÃO</w:t>
      </w:r>
    </w:p>
    <w:p>
      <w:pPr>
        <w:pStyle w:val="Normal"/>
        <w:spacing w:lineRule="auto" w:line="240" w:before="0" w:afterAutospacing="1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O desbloqueio da senha condiciona-se ao cadastramento prévio na Secretaria da Fazenda por meio do site da Nota Fiscal Paulista: www.nfp.fazenda.sp.gov.br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ANEXOS: requerimento de desbloqueio de senha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203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20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</Pages>
  <Words>188</Words>
  <Characters>1109</Characters>
  <CharactersWithSpaces>1270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2021-04-30T17:29:00Z</dcterms:created>
  <dc:creator>patvgsul</dc:creator>
  <dc:description/>
  <dc:language>pt-BR</dc:language>
  <cp:lastModifiedBy/>
  <dcterms:modified xsi:type="dcterms:W3CDTF">2021-05-12T09:55:53Z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