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jpeg" ContentType="image/jpeg"/>
  <Override PartName="/word/media/image3.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jc w:val="center"/>
        <w:rPr/>
      </w:pPr>
      <w:r>
        <w:rPr>
          <w:rFonts w:ascii="Calibri" w:hAnsi="Calibri" w:asciiTheme="majorHAnsi" w:hAnsiTheme="majorHAnsi"/>
          <w:b/>
          <w:sz w:val="24"/>
          <w:szCs w:val="24"/>
        </w:rPr>
        <w:t xml:space="preserve">EDITAL DE CHAMAMENTO PÚBLICO Nº </w:t>
      </w:r>
      <w:r>
        <w:rPr>
          <w:rFonts w:ascii="Calibri" w:hAnsi="Calibri" w:asciiTheme="majorHAnsi" w:hAnsiTheme="majorHAnsi"/>
          <w:b/>
          <w:color w:val="000000"/>
          <w:sz w:val="24"/>
          <w:szCs w:val="24"/>
        </w:rPr>
        <w:t>04</w:t>
      </w:r>
      <w:r>
        <w:rPr>
          <w:rFonts w:ascii="Calibri" w:hAnsi="Calibri" w:asciiTheme="majorHAnsi" w:hAnsiTheme="majorHAnsi"/>
          <w:b/>
          <w:sz w:val="24"/>
          <w:szCs w:val="24"/>
        </w:rPr>
        <w:t>/2024</w:t>
      </w:r>
    </w:p>
    <w:p>
      <w:pPr>
        <w:pStyle w:val="Normal"/>
        <w:spacing w:lineRule="auto" w:line="240"/>
        <w:jc w:val="center"/>
        <w:rPr>
          <w:rFonts w:ascii="Calibri" w:hAnsi="Calibri" w:asciiTheme="majorHAnsi" w:hAnsiTheme="majorHAnsi"/>
          <w:b/>
          <w:b/>
          <w:color w:val="FF0000"/>
          <w:sz w:val="24"/>
          <w:szCs w:val="24"/>
        </w:rPr>
      </w:pPr>
      <w:r>
        <w:rPr>
          <w:rFonts w:ascii="Calibri" w:hAnsi="Calibri" w:asciiTheme="majorHAnsi" w:hAnsiTheme="majorHAnsi"/>
          <w:b/>
          <w:sz w:val="24"/>
          <w:szCs w:val="24"/>
        </w:rPr>
        <w:t>DEMAIS ÁREAS</w:t>
      </w:r>
    </w:p>
    <w:p>
      <w:pPr>
        <w:pStyle w:val="Normal"/>
        <w:spacing w:lineRule="auto" w:line="240"/>
        <w:jc w:val="center"/>
        <w:rPr>
          <w:rFonts w:ascii="Calibri" w:hAnsi="Calibri" w:asciiTheme="majorHAnsi" w:hAnsiTheme="majorHAnsi"/>
          <w:b/>
          <w:b/>
          <w:sz w:val="24"/>
          <w:szCs w:val="24"/>
        </w:rPr>
      </w:pPr>
      <w:r>
        <w:rPr>
          <w:rFonts w:asciiTheme="majorHAnsi" w:hAnsiTheme="majorHAnsi" w:ascii="Calibri" w:hAnsi="Calibri"/>
          <w:b/>
          <w:sz w:val="24"/>
          <w:szCs w:val="24"/>
        </w:rPr>
      </w:r>
    </w:p>
    <w:p>
      <w:pPr>
        <w:pStyle w:val="Normal"/>
        <w:spacing w:lineRule="auto" w:line="240"/>
        <w:jc w:val="center"/>
        <w:rPr>
          <w:rFonts w:ascii="Calibri" w:hAnsi="Calibri" w:asciiTheme="majorHAnsi" w:hAnsiTheme="majorHAnsi"/>
          <w:b/>
          <w:b/>
          <w:sz w:val="24"/>
          <w:szCs w:val="24"/>
        </w:rPr>
      </w:pPr>
      <w:r>
        <w:rPr>
          <w:rFonts w:ascii="Calibri" w:hAnsi="Calibri" w:asciiTheme="majorHAnsi" w:hAnsiTheme="majorHAnsi"/>
          <w:b/>
          <w:sz w:val="24"/>
          <w:szCs w:val="24"/>
        </w:rPr>
        <w:t>EDITAL DE PREMIAÇÃO PARA AGENTES CULTURAIS COM RECURSOS DA LEI COMPLEMENTAR Nº 195/2022 (LEI PAULO GUSTAVO)</w:t>
      </w:r>
    </w:p>
    <w:p>
      <w:pPr>
        <w:pStyle w:val="Normal"/>
        <w:spacing w:lineRule="auto" w:line="240"/>
        <w:jc w:val="both"/>
        <w:rPr>
          <w:rFonts w:ascii="Calibri" w:hAnsi="Calibri" w:asciiTheme="majorHAnsi" w:hAnsiTheme="majorHAnsi"/>
          <w:sz w:val="24"/>
          <w:szCs w:val="24"/>
        </w:rPr>
      </w:pPr>
      <w:r>
        <w:rPr>
          <w:rFonts w:asciiTheme="majorHAnsi" w:hAnsiTheme="majorHAnsi" w:ascii="Calibri" w:hAnsi="Calibri"/>
          <w:sz w:val="24"/>
          <w:szCs w:val="24"/>
        </w:rPr>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Este Edital é realizado com recursos do Governo Federal repassados por meio da Lei Complementar nº 195/2022 - Lei Paulo Gustavo.</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A Lei Paulo Gustavo viabiliza o maior investimento direto no setor cultural da história do Brasil e simboliza o processo de resistência da classe artística durante a pandemia de Covid-19, que limitou severamente as atividades do setor cultural.</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É, ainda, uma homenagem a Paulo Gustavo, artista símbolo da categoria, vitimado pela doença.</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As condições para a execução da Lei Paulo Gustavo foram construídas por meio do engajamento e resistência da sociedade.</w:t>
      </w:r>
    </w:p>
    <w:p>
      <w:pPr>
        <w:pStyle w:val="Normal"/>
        <w:spacing w:lineRule="auto" w:line="240" w:before="0" w:after="200"/>
        <w:jc w:val="both"/>
        <w:rPr>
          <w:rFonts w:ascii="Calibri" w:hAnsi="Calibri" w:asciiTheme="majorHAnsi" w:hAnsiTheme="majorHAnsi"/>
          <w:b/>
          <w:b/>
          <w:sz w:val="24"/>
          <w:szCs w:val="24"/>
        </w:rPr>
      </w:pPr>
      <w:r>
        <w:rPr>
          <w:rFonts w:ascii="Calibri" w:hAnsi="Calibri" w:asciiTheme="majorHAnsi" w:hAnsiTheme="majorHAnsi"/>
          <w:sz w:val="24"/>
          <w:szCs w:val="24"/>
        </w:rPr>
        <w:t xml:space="preserve">O presente edital destina-se à premiação de </w:t>
      </w:r>
      <w:r>
        <w:rPr>
          <w:rFonts w:ascii="Calibri" w:hAnsi="Calibri" w:asciiTheme="majorHAnsi" w:hAnsiTheme="majorHAnsi"/>
          <w:b/>
          <w:sz w:val="24"/>
          <w:szCs w:val="24"/>
        </w:rPr>
        <w:t>agentes culturais residentes e domiciliados em Vargem Grande do Sul.</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Deste modo, o Departamento de Cultura e Turismo</w:t>
      </w:r>
      <w:r>
        <w:rPr>
          <w:rFonts w:ascii="Calibri" w:hAnsi="Calibri" w:asciiTheme="majorHAnsi" w:hAnsiTheme="majorHAnsi"/>
          <w:color w:val="FF0000"/>
          <w:sz w:val="24"/>
          <w:szCs w:val="24"/>
        </w:rPr>
        <w:t xml:space="preserve"> </w:t>
      </w:r>
      <w:r>
        <w:rPr>
          <w:rFonts w:ascii="Calibri" w:hAnsi="Calibri" w:asciiTheme="majorHAnsi" w:hAnsiTheme="majorHAnsi"/>
          <w:sz w:val="24"/>
          <w:szCs w:val="24"/>
        </w:rPr>
        <w:t>torna público o presente edital elaborado com base na Lei Complementar 195/2022 (Lei Paulo Gustavo), no Decreto 11.525/2023 (Decreto Paulo Gustavo) e no D</w:t>
      </w:r>
      <w:bookmarkStart w:id="0" w:name="_GoBack"/>
      <w:bookmarkEnd w:id="0"/>
      <w:r>
        <w:rPr>
          <w:rFonts w:ascii="Calibri" w:hAnsi="Calibri" w:asciiTheme="majorHAnsi" w:hAnsiTheme="majorHAnsi"/>
          <w:sz w:val="24"/>
          <w:szCs w:val="24"/>
        </w:rPr>
        <w:t>ecreto 11.453/2023 (Decreto de Fomento).</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Na realização deste edital serão asseguradas medidas de democratização, desconcentração, descentralização e regionalização do investimento cultural, com a implementação de ações afirmativas, sob fundamentado dos artigos 14, 15 e 16 do Decreto nº 11.525, de 11 de maio de 2023 (Decreto de Regulamentação da Lei Paulo Gustavo).</w:t>
      </w:r>
    </w:p>
    <w:p>
      <w:pPr>
        <w:pStyle w:val="Normal"/>
        <w:spacing w:lineRule="auto" w:line="240"/>
        <w:jc w:val="both"/>
        <w:rPr>
          <w:rFonts w:ascii="Calibri" w:hAnsi="Calibri" w:asciiTheme="majorHAnsi" w:hAnsiTheme="majorHAnsi"/>
          <w:sz w:val="24"/>
          <w:szCs w:val="24"/>
        </w:rPr>
      </w:pPr>
      <w:r>
        <w:rPr>
          <w:rFonts w:asciiTheme="majorHAnsi" w:hAnsiTheme="majorHAnsi" w:ascii="Calibri" w:hAnsi="Calibri"/>
          <w:sz w:val="24"/>
          <w:szCs w:val="24"/>
        </w:rPr>
      </w:r>
    </w:p>
    <w:p>
      <w:pPr>
        <w:pStyle w:val="Normal"/>
        <w:spacing w:lineRule="auto" w:line="240" w:before="0" w:after="200"/>
        <w:jc w:val="both"/>
        <w:rPr>
          <w:rFonts w:ascii="Calibri" w:hAnsi="Calibri" w:asciiTheme="majorHAnsi" w:hAnsiTheme="majorHAnsi"/>
          <w:b/>
          <w:b/>
          <w:sz w:val="24"/>
          <w:szCs w:val="24"/>
        </w:rPr>
      </w:pPr>
      <w:r>
        <w:rPr>
          <w:rFonts w:ascii="Calibri" w:hAnsi="Calibri" w:asciiTheme="majorHAnsi" w:hAnsiTheme="majorHAnsi"/>
          <w:b/>
          <w:sz w:val="24"/>
          <w:szCs w:val="24"/>
        </w:rPr>
        <w:t xml:space="preserve">1. OBJETO </w:t>
      </w:r>
    </w:p>
    <w:p>
      <w:pPr>
        <w:pStyle w:val="Normal"/>
        <w:spacing w:lineRule="auto" w:line="240" w:before="0" w:after="200"/>
        <w:jc w:val="both"/>
        <w:rPr>
          <w:rFonts w:ascii="Calibri" w:hAnsi="Calibri" w:asciiTheme="majorHAnsi" w:hAnsiTheme="majorHAnsi"/>
          <w:color w:val="FF0000"/>
          <w:sz w:val="24"/>
          <w:szCs w:val="24"/>
        </w:rPr>
      </w:pPr>
      <w:r>
        <w:rPr>
          <w:rFonts w:ascii="Calibri" w:hAnsi="Calibri" w:asciiTheme="majorHAnsi" w:hAnsiTheme="majorHAnsi"/>
          <w:sz w:val="24"/>
          <w:szCs w:val="24"/>
        </w:rPr>
        <w:t xml:space="preserve">1.1 O objeto deste Edital é a premiação de agentes culturais das </w:t>
      </w:r>
      <w:r>
        <w:rPr>
          <w:rFonts w:ascii="Calibri" w:hAnsi="Calibri" w:asciiTheme="majorHAnsi" w:hAnsiTheme="majorHAnsi"/>
          <w:b/>
          <w:sz w:val="24"/>
          <w:szCs w:val="24"/>
        </w:rPr>
        <w:t>DEMAIS ÁREAS CULTURAIS</w:t>
      </w:r>
      <w:r>
        <w:rPr>
          <w:rFonts w:ascii="Calibri" w:hAnsi="Calibri" w:asciiTheme="majorHAnsi" w:hAnsiTheme="majorHAnsi"/>
          <w:sz w:val="24"/>
          <w:szCs w:val="24"/>
        </w:rPr>
        <w:t xml:space="preserve"> que se enquadrem como: </w:t>
      </w:r>
      <w:r>
        <w:rPr>
          <w:rFonts w:ascii="Calibri" w:hAnsi="Calibri" w:asciiTheme="majorHAnsi" w:hAnsiTheme="majorHAnsi"/>
          <w:b/>
          <w:sz w:val="24"/>
          <w:szCs w:val="24"/>
        </w:rPr>
        <w:t>Técnicos de som, técnicos de luz, cenógrafos e fotógrafos</w:t>
      </w:r>
      <w:r>
        <w:rPr>
          <w:rFonts w:ascii="Calibri" w:hAnsi="Calibri" w:asciiTheme="majorHAnsi" w:hAnsiTheme="majorHAnsi"/>
          <w:sz w:val="24"/>
          <w:szCs w:val="24"/>
        </w:rPr>
        <w:t xml:space="preserve">, que tenham prestado relevante contribuição ao desenvolvimento artístico ou cultural de Vargem Grande do Sul, observadas as categorias descritas no </w:t>
      </w:r>
      <w:r>
        <w:rPr>
          <w:rFonts w:ascii="Calibri" w:hAnsi="Calibri" w:asciiTheme="majorHAnsi" w:hAnsiTheme="majorHAnsi"/>
          <w:b/>
          <w:sz w:val="24"/>
          <w:szCs w:val="24"/>
        </w:rPr>
        <w:t>Anexo I</w:t>
      </w:r>
      <w:r>
        <w:rPr>
          <w:rFonts w:ascii="Calibri" w:hAnsi="Calibri" w:asciiTheme="majorHAnsi" w:hAnsiTheme="majorHAnsi"/>
          <w:sz w:val="24"/>
          <w:szCs w:val="24"/>
        </w:rPr>
        <w:t>.</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1.2 O prêmio possui natureza jurídica de doação sem encargo, e será realizado por meio de pagamento direto ao contemplado, sem estabelecimento de obrigações futuras, sem exigência de contrapartida, e sem necessidade de assinatura de instrumento jurídico, conforme autoriza o art. 41 do Decreto nº 11.453/2023 (Decreto de Fomento).</w:t>
      </w:r>
    </w:p>
    <w:p>
      <w:pPr>
        <w:pStyle w:val="Normal"/>
        <w:spacing w:lineRule="auto" w:line="240"/>
        <w:jc w:val="both"/>
        <w:rPr>
          <w:rFonts w:ascii="Calibri" w:hAnsi="Calibri" w:asciiTheme="majorHAnsi" w:hAnsiTheme="majorHAnsi"/>
          <w:b/>
          <w:b/>
          <w:sz w:val="24"/>
          <w:szCs w:val="24"/>
        </w:rPr>
      </w:pPr>
      <w:r>
        <w:rPr>
          <w:rFonts w:asciiTheme="majorHAnsi" w:hAnsiTheme="majorHAnsi" w:ascii="Calibri" w:hAnsi="Calibri"/>
          <w:b/>
          <w:sz w:val="24"/>
          <w:szCs w:val="24"/>
        </w:rPr>
      </w:r>
    </w:p>
    <w:p>
      <w:pPr>
        <w:pStyle w:val="Normal"/>
        <w:spacing w:lineRule="auto" w:line="240"/>
        <w:jc w:val="both"/>
        <w:rPr>
          <w:rFonts w:ascii="Calibri" w:hAnsi="Calibri" w:asciiTheme="majorHAnsi" w:hAnsiTheme="majorHAnsi"/>
          <w:b/>
          <w:b/>
          <w:sz w:val="24"/>
          <w:szCs w:val="24"/>
        </w:rPr>
      </w:pPr>
      <w:r>
        <w:rPr>
          <w:rFonts w:asciiTheme="majorHAnsi" w:hAnsiTheme="majorHAnsi" w:ascii="Calibri" w:hAnsi="Calibri"/>
          <w:b/>
          <w:sz w:val="24"/>
          <w:szCs w:val="24"/>
        </w:rPr>
      </w:r>
    </w:p>
    <w:p>
      <w:pPr>
        <w:pStyle w:val="Normal"/>
        <w:spacing w:lineRule="auto" w:line="240"/>
        <w:jc w:val="both"/>
        <w:rPr>
          <w:rFonts w:ascii="Calibri" w:hAnsi="Calibri" w:asciiTheme="majorHAnsi" w:hAnsiTheme="majorHAnsi"/>
          <w:b/>
          <w:b/>
          <w:sz w:val="24"/>
          <w:szCs w:val="24"/>
        </w:rPr>
      </w:pPr>
      <w:r>
        <w:rPr>
          <w:rFonts w:ascii="Calibri" w:hAnsi="Calibri" w:asciiTheme="majorHAnsi" w:hAnsiTheme="majorHAnsi"/>
          <w:b/>
          <w:sz w:val="24"/>
          <w:szCs w:val="24"/>
        </w:rPr>
        <w:t>2. VALORES</w:t>
      </w:r>
    </w:p>
    <w:p>
      <w:pPr>
        <w:pStyle w:val="Normal"/>
        <w:spacing w:lineRule="auto" w:line="240"/>
        <w:jc w:val="both"/>
        <w:rPr>
          <w:rFonts w:ascii="Calibri" w:hAnsi="Calibri" w:asciiTheme="majorHAnsi" w:hAnsiTheme="majorHAnsi"/>
          <w:sz w:val="24"/>
          <w:szCs w:val="24"/>
        </w:rPr>
      </w:pPr>
      <w:r>
        <w:rPr>
          <w:rFonts w:ascii="Calibri" w:hAnsi="Calibri" w:asciiTheme="majorHAnsi" w:hAnsiTheme="majorHAnsi"/>
          <w:sz w:val="24"/>
          <w:szCs w:val="24"/>
        </w:rPr>
        <w:t xml:space="preserve">2.1  O valor total disponibilizado para este edital é de R$ 37.472,20 (trinta e sete mil, quatrocentos e setenta e dois mil reais e vinte centavos) dividido entre as categorias elencadas no </w:t>
      </w:r>
      <w:r>
        <w:rPr>
          <w:rFonts w:ascii="Calibri" w:hAnsi="Calibri" w:asciiTheme="majorHAnsi" w:hAnsiTheme="majorHAnsi"/>
          <w:b/>
          <w:sz w:val="24"/>
          <w:szCs w:val="24"/>
        </w:rPr>
        <w:t>Anexo I</w:t>
      </w:r>
      <w:r>
        <w:rPr>
          <w:rFonts w:ascii="Calibri" w:hAnsi="Calibri" w:asciiTheme="majorHAnsi" w:hAnsiTheme="majorHAnsi"/>
          <w:sz w:val="24"/>
          <w:szCs w:val="24"/>
        </w:rPr>
        <w:t xml:space="preserve"> deste Edital.</w:t>
      </w:r>
    </w:p>
    <w:p>
      <w:pPr>
        <w:pStyle w:val="Normal"/>
        <w:spacing w:lineRule="auto" w:line="240" w:before="120" w:after="0"/>
        <w:jc w:val="both"/>
        <w:rPr/>
      </w:pPr>
      <w:r>
        <w:rPr>
          <w:rFonts w:ascii="Calibri" w:hAnsi="Calibri" w:asciiTheme="majorHAnsi" w:hAnsiTheme="majorHAnsi"/>
          <w:sz w:val="24"/>
          <w:szCs w:val="24"/>
        </w:rPr>
        <w:t xml:space="preserve">2.2 A despesa correrá à conta da seguinte Dotação Orçamentária: </w:t>
      </w:r>
      <w:r>
        <w:rPr>
          <w:rFonts w:ascii="Calibri" w:hAnsi="Calibri" w:asciiTheme="majorHAnsi" w:hAnsiTheme="majorHAnsi"/>
          <w:color w:val="000000"/>
          <w:sz w:val="24"/>
          <w:szCs w:val="24"/>
          <w:highlight w:val="white"/>
        </w:rPr>
        <w:t xml:space="preserve">A despesa correrá à conta da seguinte Dotação Orçamentária: 01.02.18.13.392.0015.1313-Lei Complementar nº 195/2022- LEI PAULO GUSTAVO Modalidade Artísticas Presencial </w:t>
      </w:r>
    </w:p>
    <w:p>
      <w:pPr>
        <w:pStyle w:val="Textojustificado"/>
        <w:spacing w:beforeAutospacing="0" w:before="120" w:afterAutospacing="0" w:after="120"/>
        <w:ind w:right="-1" w:hanging="0"/>
        <w:jc w:val="both"/>
        <w:rPr>
          <w:rFonts w:ascii="Calibri" w:hAnsi="Calibri" w:cs="Cambria" w:asciiTheme="majorHAnsi" w:cstheme="minorHAnsi" w:hAnsiTheme="majorHAnsi"/>
        </w:rPr>
      </w:pPr>
      <w:r>
        <w:rPr>
          <w:rFonts w:cs="Cambria" w:ascii="Calibri" w:hAnsi="Calibri" w:asciiTheme="majorHAnsi" w:cstheme="minorHAnsi" w:hAnsiTheme="majorHAnsi"/>
        </w:rPr>
        <w:t>2.3 O anexo I deste edital, onde constam as categorias dos projetos e valores, poderá ter os valores alterados, para mais ou para menos, em cada área cultural, a depender do número de projetos inscritos e qualidade dos mesmos, objetivando o benefício de um maior número de pessoas das demais áreas;</w:t>
      </w:r>
    </w:p>
    <w:p>
      <w:pPr>
        <w:pStyle w:val="Textojustificado"/>
        <w:spacing w:beforeAutospacing="0" w:before="120" w:afterAutospacing="0" w:after="120"/>
        <w:ind w:right="-1" w:hanging="0"/>
        <w:jc w:val="both"/>
        <w:rPr>
          <w:rFonts w:ascii="Calibri" w:hAnsi="Calibri" w:cs="Cambria" w:asciiTheme="majorHAnsi" w:cstheme="minorHAnsi" w:hAnsiTheme="majorHAnsi"/>
        </w:rPr>
      </w:pPr>
      <w:r>
        <w:rPr>
          <w:rFonts w:cs="Cambria" w:ascii="Calibri" w:hAnsi="Calibri" w:asciiTheme="majorHAnsi" w:cstheme="minorHAnsi" w:hAnsiTheme="majorHAnsi"/>
        </w:rPr>
        <w:t>2.4 De acordo com a Lei Complementar n. 195/2022, não é permitido remanejar recursos deste edital de Demais Áreas para o edital de Audiovisual.</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2.5 Este edital poderá ser suplementado, caso haja interesse público e disponibilidade orçamentária suficiente. </w:t>
      </w:r>
    </w:p>
    <w:p>
      <w:pPr>
        <w:pStyle w:val="Normal"/>
        <w:spacing w:lineRule="auto" w:line="240"/>
        <w:jc w:val="both"/>
        <w:rPr>
          <w:rFonts w:ascii="Calibri" w:hAnsi="Calibri" w:asciiTheme="majorHAnsi" w:hAnsiTheme="majorHAnsi"/>
          <w:sz w:val="24"/>
          <w:szCs w:val="24"/>
        </w:rPr>
      </w:pPr>
      <w:r>
        <w:rPr>
          <w:rFonts w:asciiTheme="majorHAnsi" w:hAnsiTheme="majorHAnsi" w:ascii="Calibri" w:hAnsi="Calibri"/>
          <w:sz w:val="24"/>
          <w:szCs w:val="24"/>
        </w:rPr>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Style w:val="Strong"/>
          <w:rFonts w:cs="Calibri" w:ascii="Calibri" w:hAnsi="Calibri" w:asciiTheme="majorHAnsi" w:hAnsiTheme="majorHAnsi"/>
          <w:color w:val="000000"/>
        </w:rPr>
        <w:t>3. QUEM PODE SE INSCREVER</w:t>
      </w:r>
    </w:p>
    <w:p>
      <w:pPr>
        <w:pStyle w:val="Textojustificado"/>
        <w:spacing w:beforeAutospacing="0" w:before="120" w:afterAutospacing="0" w:after="120"/>
        <w:ind w:right="-1" w:hanging="0"/>
        <w:jc w:val="both"/>
        <w:rPr>
          <w:rFonts w:ascii="Calibri" w:hAnsi="Calibri" w:cs="Calibri" w:asciiTheme="majorHAnsi" w:hAnsiTheme="majorHAnsi"/>
          <w:color w:val="FF0000"/>
        </w:rPr>
      </w:pPr>
      <w:r>
        <w:rPr>
          <w:rFonts w:cs="Calibri" w:ascii="Calibri" w:hAnsi="Calibri" w:asciiTheme="majorHAnsi" w:hAnsiTheme="majorHAnsi"/>
          <w:color w:val="000000"/>
        </w:rPr>
        <w:t xml:space="preserve">3.1 Pode se inscrever no Edital qualquer agente cultural residente e domiciliado no Município de Vargem Grande do Sul. </w:t>
      </w:r>
      <w:r>
        <w:rPr>
          <w:rFonts w:cs="Cambria" w:ascii="Calibri" w:hAnsi="Calibri" w:asciiTheme="majorHAnsi" w:cstheme="minorHAnsi" w:hAnsiTheme="majorHAnsi"/>
          <w:color w:val="FF0000"/>
        </w:rPr>
        <w:t> </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3.2 Em regra, o agente cultural pode ser:</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I - Pessoa física ou Microempreendedor Individual (MEI)</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II - Pessoa jurídica com fins lucrativos (Ex.: empresa de pequeno porte, empresa de grande porte, etc)</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III - Pessoa jurídica sem fins lucrativos (Ex.: Associação, Fundação, Cooperativa, etc)</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IV - Coletivo/Grupo sem CNPJ representado por pessoa física.</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3.3 O proponente é o agente cultural responsável pela inscrição do projeto.</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 xml:space="preserve">3.4 Na hipótese de agentes culturais que atuem como grupo ou coletivo cultural sem constituição jurídica (ou seja, sem CNPJ), será indicada pessoa física como responsável legal para o ato da assinatura do Termo de Execução Cultural e a representação será formalizada em declaração assinada pelos demais integrantes do grupo ou coletivo, podendo ser utilizado o modelo constante no </w:t>
      </w:r>
      <w:r>
        <w:rPr>
          <w:rFonts w:cs="Calibri" w:ascii="Calibri" w:hAnsi="Calibri" w:asciiTheme="majorHAnsi" w:hAnsiTheme="majorHAnsi"/>
          <w:b/>
          <w:color w:val="000000"/>
        </w:rPr>
        <w:t>Anexo IV</w:t>
      </w:r>
      <w:r>
        <w:rPr>
          <w:rFonts w:cs="Calibri" w:ascii="Calibri" w:hAnsi="Calibri" w:asciiTheme="majorHAnsi" w:hAnsiTheme="majorHAnsi"/>
          <w:color w:val="000000"/>
        </w:rPr>
        <w:t>.</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 xml:space="preserve">3.5 O </w:t>
      </w:r>
      <w:r>
        <w:rPr>
          <w:rFonts w:cs="Calibri" w:ascii="Calibri" w:hAnsi="Calibri" w:asciiTheme="majorHAnsi" w:hAnsiTheme="majorHAnsi"/>
          <w:b/>
          <w:color w:val="000000"/>
        </w:rPr>
        <w:t>Anexo I</w:t>
      </w:r>
      <w:r>
        <w:rPr>
          <w:rFonts w:cs="Calibri" w:ascii="Calibri" w:hAnsi="Calibri" w:asciiTheme="majorHAnsi" w:hAnsiTheme="majorHAnsi"/>
          <w:color w:val="000000"/>
        </w:rPr>
        <w:t xml:space="preserve"> deve ser consultado para fins de verificação das condições de participação de todos os proponentes.</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 </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Style w:val="Strong"/>
          <w:rFonts w:cs="Calibri" w:ascii="Calibri" w:hAnsi="Calibri" w:asciiTheme="majorHAnsi" w:hAnsiTheme="majorHAnsi"/>
          <w:color w:val="000000"/>
        </w:rPr>
        <w:t>4. QUEM NÃO PODE SE INSCREVER</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4.1 Não pode se inscrever neste Edital, proponentes que: </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I - tenham se envolvido diretamente na etapa de elaboração do edital, na etapa de análise de propostas ou na etapa de julgamento de recursos;</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II - sejam cônjuges, companheiros ou parentes em linha reta, colateral ou por afinidade, até o terceiro grau, de servidor público do órgão responsável pelo edital, nos casos em que o referido servidor tiver atuado na etapa de elaboração do edital, na etapa de análise de propostas ou na etapa de julgamento de recursos; e</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III - sejam membros do Poder Legislativo (Deputados, Senadores, Vereadores), do Poder Judiciário (Juízes, Desembargadores, Ministros), do Ministério Público (Promotor, Procurador); do Tribunal de Contas (Auditores e Conselheiros).</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4.2 O agente cultural que integrar Conselho de Cultura poderá concorrer neste Edital para receber recursos do fomento cultural, exceto quando se enquadrar nas vedações previstas no item 4.1.</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4.3 Quando se tratar de proponentes pessoas jurídicas, estarão impedidas de apresentar projetos aquelas cujos sócios, diretores e/ou administradores se enquadrarem nas situações descritas no tópico 4.1.</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4.4 A participação de agentes culturais nas oitivas e consultas públicas não caracteriza o envolvimento direto na etapa de elaboração do edital de que trata o subitem I do item 4.1.</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4.5 Menores de 18 anos.</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 </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Style w:val="Strong"/>
          <w:rFonts w:cs="Calibri" w:ascii="Calibri" w:hAnsi="Calibri" w:asciiTheme="majorHAnsi" w:hAnsiTheme="majorHAnsi"/>
          <w:color w:val="000000"/>
        </w:rPr>
        <w:t>5. COTAS</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5.1 Ficam garantidas cotas étnicas-raciais em todas as categorias do edital, nas seguintes proporções:</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a) no mínimo 20% para pessoas negras (pretas e pardas); e</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b) no mínimo 10% para pessoas indígenas.</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 xml:space="preserve">5.2 Os agentes culturais que optarem por concorrer às cotas para pessoas negras (pretas e pardas) e indígenas concorrerão concomitantemente às vagas destinadas à ampla concorrência, ou seja, concorrerão ao mesmo tempo nas vagas da ampla concorrência e nas vagas reservadas às cotas, podendo ser selecionado de acordo com a sua nota ou classificação no processo seleção. </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5.3 Os agentes culturais negros (pretos e pardos) e indígenas optantes por concorrer às cotas que atingirem nota suficiente para se classificar no número de vagas oferecidas para ampla concorrência não ocuparão as vagas destinadas para o preenchimento das cotas, ou seja, serão selecionados na vagas da ampla concorrência, ficando a vaga da cota para o próximo colocado optante pela cota.</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5.4 Em caso de desistência de optantes aprovados nas cotas, a vaga não preenchida deverá ser ocupada por pessoa que concorreu às cotas de acordo com a ordem de classificação. </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5.5 No caso de não existirem propostas aptas em número suficiente para o cumprimento de uma das categorias de cotas previstas na seleção, o número de vagas restantes deverá ser destinado inicialmente para a outra categoria de cotas.</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5.6 Caso não haja outra categoria de cotas de que trata o item 5.5, as vagas não preenchidas deverão ser direcionadas para a ampla concorrência, sendo direcionadas para os demais candidatos aprovados, de acordo com a ordem de classificação.</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 xml:space="preserve">5.7 Para concorrer às cotas, os agentes culturais deverão autodeclarar-se no ato da inscrição usando a autodeclaração étnico-racial de que trata o </w:t>
      </w:r>
      <w:r>
        <w:rPr>
          <w:rFonts w:cs="Calibri" w:ascii="Calibri" w:hAnsi="Calibri" w:asciiTheme="majorHAnsi" w:hAnsiTheme="majorHAnsi"/>
          <w:b/>
          <w:color w:val="000000"/>
        </w:rPr>
        <w:t>Anexo VI</w:t>
      </w:r>
      <w:r>
        <w:rPr>
          <w:rFonts w:cs="Calibri" w:ascii="Calibri" w:hAnsi="Calibri" w:asciiTheme="majorHAnsi" w:hAnsiTheme="majorHAnsi"/>
          <w:color w:val="000000"/>
        </w:rPr>
        <w:t>.</w:t>
      </w:r>
    </w:p>
    <w:p>
      <w:pPr>
        <w:pStyle w:val="Textojustificado"/>
        <w:spacing w:beforeAutospacing="0" w:before="120" w:afterAutospacing="0" w:after="120"/>
        <w:ind w:right="-1" w:hanging="0"/>
        <w:jc w:val="both"/>
        <w:rPr>
          <w:rFonts w:ascii="Calibri" w:hAnsi="Calibri" w:cs="Calibri" w:asciiTheme="majorHAnsi" w:hAnsiTheme="majorHAnsi"/>
        </w:rPr>
      </w:pPr>
      <w:r>
        <w:rPr>
          <w:rFonts w:cs="Calibri" w:ascii="Calibri" w:hAnsi="Calibri" w:asciiTheme="majorHAnsi" w:hAnsiTheme="majorHAnsi"/>
        </w:rPr>
        <w:t>5.8 Para fins de verificação da autodeclaração, serão realizados os seguintes procedimentos complementares:</w:t>
      </w:r>
    </w:p>
    <w:p>
      <w:pPr>
        <w:pStyle w:val="Textojustificado"/>
        <w:spacing w:beforeAutospacing="0" w:before="120" w:afterAutospacing="0" w:after="120"/>
        <w:ind w:right="-1" w:hanging="0"/>
        <w:jc w:val="both"/>
        <w:rPr>
          <w:rFonts w:ascii="Calibri" w:hAnsi="Calibri" w:cs="Calibri" w:asciiTheme="majorHAnsi" w:hAnsiTheme="majorHAnsi"/>
        </w:rPr>
      </w:pPr>
      <w:r>
        <w:rPr>
          <w:rFonts w:cs="Calibri" w:ascii="Calibri" w:hAnsi="Calibri" w:asciiTheme="majorHAnsi" w:hAnsiTheme="majorHAnsi"/>
        </w:rPr>
        <w:t>I - procedimento de heteroidentificação;</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5.9 As pessoas jurídicas e coletivos sem constituição jurídica podem concorrer às cotas, desde que preencham algum dos requisitos abaixo: </w:t>
      </w:r>
    </w:p>
    <w:p>
      <w:pPr>
        <w:pStyle w:val="Textojustificado"/>
        <w:spacing w:beforeAutospacing="0" w:before="120" w:afterAutospacing="0" w:after="120"/>
        <w:ind w:right="-1" w:hanging="0"/>
        <w:jc w:val="both"/>
        <w:rPr>
          <w:rFonts w:ascii="Calibri" w:hAnsi="Calibri" w:cs="Calibri" w:asciiTheme="majorHAnsi" w:hAnsiTheme="majorHAnsi"/>
        </w:rPr>
      </w:pPr>
      <w:r>
        <w:rPr>
          <w:rFonts w:cs="Calibri" w:ascii="Calibri" w:hAnsi="Calibri" w:asciiTheme="majorHAnsi" w:hAnsiTheme="majorHAnsi"/>
        </w:rPr>
        <w:t>I – pessoas jurídicas que possuem quadro societário majoritariamente composto por pessoas negras (pretas e pardas) ou indígenas;</w:t>
      </w:r>
    </w:p>
    <w:p>
      <w:pPr>
        <w:pStyle w:val="Textojustificado"/>
        <w:spacing w:beforeAutospacing="0" w:before="120" w:afterAutospacing="0" w:after="120"/>
        <w:ind w:right="-1" w:hanging="0"/>
        <w:jc w:val="both"/>
        <w:rPr>
          <w:rFonts w:ascii="Calibri" w:hAnsi="Calibri" w:cs="Calibri" w:asciiTheme="majorHAnsi" w:hAnsiTheme="majorHAnsi"/>
        </w:rPr>
      </w:pPr>
      <w:r>
        <w:rPr>
          <w:rFonts w:cs="Calibri" w:ascii="Calibri" w:hAnsi="Calibri" w:asciiTheme="majorHAnsi" w:hAnsiTheme="majorHAnsi"/>
        </w:rPr>
        <w:t>II – pessoas jurídicas ou grupos e coletivos sem constituição jurídica que possuam pessoas negras (pretas e pardas) ou indígenas em posições de liderança no projeto cultural;</w:t>
      </w:r>
    </w:p>
    <w:p>
      <w:pPr>
        <w:pStyle w:val="Textojustificado"/>
        <w:spacing w:beforeAutospacing="0" w:before="120" w:afterAutospacing="0" w:after="120"/>
        <w:ind w:right="-1" w:hanging="0"/>
        <w:jc w:val="both"/>
        <w:rPr>
          <w:rFonts w:ascii="Calibri" w:hAnsi="Calibri" w:cs="Calibri" w:asciiTheme="majorHAnsi" w:hAnsiTheme="majorHAnsi"/>
        </w:rPr>
      </w:pPr>
      <w:r>
        <w:rPr>
          <w:rFonts w:cs="Calibri" w:ascii="Calibri" w:hAnsi="Calibri" w:asciiTheme="majorHAnsi" w:hAnsiTheme="majorHAnsi"/>
        </w:rPr>
        <w:t>III – pessoas jurídicas ou coletivos sem constituição jurídica que possuam equipe do projeto cultural majoritariamente composta por pessoas negras (pretas e pardas) ou indígenas; e</w:t>
      </w:r>
    </w:p>
    <w:p>
      <w:pPr>
        <w:pStyle w:val="Textojustificado"/>
        <w:spacing w:beforeAutospacing="0" w:before="120" w:afterAutospacing="0" w:after="120"/>
        <w:ind w:right="-1" w:hanging="0"/>
        <w:jc w:val="both"/>
        <w:rPr>
          <w:rFonts w:ascii="Calibri" w:hAnsi="Calibri" w:cs="Calibri" w:asciiTheme="majorHAnsi" w:hAnsiTheme="majorHAnsi"/>
        </w:rPr>
      </w:pPr>
      <w:r>
        <w:rPr>
          <w:rFonts w:cs="Calibri" w:ascii="Calibri" w:hAnsi="Calibri" w:asciiTheme="majorHAnsi" w:hAnsiTheme="majorHAnsi"/>
        </w:rPr>
        <w:t>IV – outras formas de composição que garantam o protagonismo de pessoas negras (pretas e pardas) e indígenas na pessoa jurídica ou no grupo e coletivo sem personalidade jurídica.]</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5.10 As pessoas físicas que compõem a equipe da pessoa jurídica e o grupo ou coletivo sem constituição jurídica devem se submeter aos regramentos descritos nos itens acima.</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 </w:t>
      </w:r>
    </w:p>
    <w:p>
      <w:pPr>
        <w:pStyle w:val="Textojustificado"/>
        <w:spacing w:beforeAutospacing="0" w:before="120" w:afterAutospacing="0" w:after="120"/>
        <w:jc w:val="both"/>
        <w:rPr>
          <w:rFonts w:ascii="Calibri" w:hAnsi="Calibri" w:asciiTheme="majorHAnsi" w:hAnsiTheme="majorHAnsi"/>
          <w:b/>
          <w:b/>
        </w:rPr>
      </w:pPr>
      <w:r>
        <w:rPr>
          <w:rFonts w:ascii="Calibri" w:hAnsi="Calibri" w:asciiTheme="majorHAnsi" w:hAnsiTheme="majorHAnsi"/>
          <w:b/>
        </w:rPr>
        <w:t>6. PRAZO DE INSCRIÇÃO</w:t>
      </w:r>
    </w:p>
    <w:p>
      <w:pPr>
        <w:pStyle w:val="Normal"/>
        <w:spacing w:before="0" w:after="200"/>
        <w:jc w:val="both"/>
        <w:rPr/>
      </w:pPr>
      <w:r>
        <w:rPr>
          <w:rFonts w:ascii="Calibri" w:hAnsi="Calibri" w:asciiTheme="majorHAnsi" w:hAnsiTheme="majorHAnsi"/>
          <w:sz w:val="24"/>
          <w:szCs w:val="24"/>
        </w:rPr>
        <w:t>6.1 Do dia 1</w:t>
      </w:r>
      <w:r>
        <w:rPr>
          <w:rFonts w:ascii="Calibri" w:hAnsi="Calibri" w:asciiTheme="majorHAnsi" w:hAnsiTheme="majorHAnsi"/>
          <w:sz w:val="24"/>
          <w:szCs w:val="24"/>
        </w:rPr>
        <w:t>6</w:t>
      </w:r>
      <w:r>
        <w:rPr>
          <w:rFonts w:ascii="Calibri" w:hAnsi="Calibri" w:asciiTheme="majorHAnsi" w:hAnsiTheme="majorHAnsi"/>
          <w:color w:val="3366FF"/>
          <w:sz w:val="24"/>
          <w:szCs w:val="24"/>
        </w:rPr>
        <w:t xml:space="preserve"> </w:t>
      </w:r>
      <w:r>
        <w:rPr>
          <w:rFonts w:ascii="Calibri" w:hAnsi="Calibri" w:asciiTheme="majorHAnsi" w:hAnsiTheme="majorHAnsi"/>
          <w:sz w:val="24"/>
          <w:szCs w:val="24"/>
        </w:rPr>
        <w:t>de Maio a 1</w:t>
      </w:r>
      <w:r>
        <w:rPr>
          <w:rFonts w:ascii="Calibri" w:hAnsi="Calibri" w:asciiTheme="majorHAnsi" w:hAnsiTheme="majorHAnsi"/>
          <w:sz w:val="24"/>
          <w:szCs w:val="24"/>
        </w:rPr>
        <w:t>1</w:t>
      </w:r>
      <w:r>
        <w:rPr>
          <w:rFonts w:ascii="Calibri" w:hAnsi="Calibri" w:asciiTheme="majorHAnsi" w:hAnsiTheme="majorHAnsi"/>
          <w:sz w:val="24"/>
          <w:szCs w:val="24"/>
        </w:rPr>
        <w:t xml:space="preserve"> de Junho de 2024.</w:t>
      </w:r>
    </w:p>
    <w:p>
      <w:pPr>
        <w:pStyle w:val="Normal"/>
        <w:spacing w:lineRule="auto" w:line="240" w:before="0" w:after="200"/>
        <w:jc w:val="both"/>
        <w:rPr>
          <w:rFonts w:ascii="Calibri" w:hAnsi="Calibri" w:asciiTheme="majorHAnsi" w:hAnsiTheme="majorHAnsi"/>
          <w:sz w:val="24"/>
          <w:szCs w:val="24"/>
        </w:rPr>
      </w:pPr>
      <w:r>
        <w:rPr>
          <w:rFonts w:asciiTheme="majorHAnsi" w:hAnsiTheme="majorHAnsi" w:ascii="Calibri" w:hAnsi="Calibri"/>
          <w:sz w:val="24"/>
          <w:szCs w:val="24"/>
        </w:rPr>
      </w:r>
    </w:p>
    <w:p>
      <w:pPr>
        <w:pStyle w:val="Normal"/>
        <w:spacing w:lineRule="auto" w:line="240" w:before="0" w:after="200"/>
        <w:jc w:val="both"/>
        <w:rPr>
          <w:rFonts w:ascii="Calibri" w:hAnsi="Calibri" w:asciiTheme="majorHAnsi" w:hAnsiTheme="majorHAnsi"/>
          <w:b/>
          <w:b/>
          <w:sz w:val="24"/>
          <w:szCs w:val="24"/>
        </w:rPr>
      </w:pPr>
      <w:r>
        <w:rPr>
          <w:rFonts w:ascii="Calibri" w:hAnsi="Calibri" w:asciiTheme="majorHAnsi" w:hAnsiTheme="majorHAnsi"/>
          <w:b/>
          <w:sz w:val="24"/>
          <w:szCs w:val="24"/>
        </w:rPr>
        <w:t>7. COMO SE INSCREVER</w:t>
      </w:r>
    </w:p>
    <w:p>
      <w:pPr>
        <w:pStyle w:val="Normal"/>
        <w:jc w:val="both"/>
        <w:rPr/>
      </w:pPr>
      <w:r>
        <w:rPr>
          <w:rFonts w:ascii="Calibri" w:hAnsi="Calibri" w:asciiTheme="majorHAnsi" w:hAnsiTheme="majorHAnsi"/>
          <w:sz w:val="24"/>
          <w:szCs w:val="24"/>
        </w:rPr>
        <w:t>7.1 O agente cultural deve entregar a documentação obrigatória de que trata o item 7.2 entre os dias 1</w:t>
      </w:r>
      <w:r>
        <w:rPr>
          <w:rFonts w:ascii="Calibri" w:hAnsi="Calibri" w:asciiTheme="majorHAnsi" w:hAnsiTheme="majorHAnsi"/>
          <w:sz w:val="24"/>
          <w:szCs w:val="24"/>
        </w:rPr>
        <w:t>6</w:t>
      </w:r>
      <w:r>
        <w:rPr>
          <w:rFonts w:ascii="Calibri" w:hAnsi="Calibri" w:asciiTheme="majorHAnsi" w:hAnsiTheme="majorHAnsi"/>
          <w:sz w:val="24"/>
          <w:szCs w:val="24"/>
        </w:rPr>
        <w:t xml:space="preserve"> de Maio de 2024 e </w:t>
      </w:r>
      <w:r>
        <w:rPr>
          <w:rFonts w:ascii="Calibri" w:hAnsi="Calibri" w:asciiTheme="majorHAnsi" w:hAnsiTheme="majorHAnsi"/>
          <w:sz w:val="24"/>
          <w:szCs w:val="24"/>
        </w:rPr>
        <w:t>11</w:t>
      </w:r>
      <w:r>
        <w:rPr>
          <w:rFonts w:ascii="Calibri" w:hAnsi="Calibri" w:asciiTheme="majorHAnsi" w:hAnsiTheme="majorHAnsi"/>
          <w:sz w:val="24"/>
          <w:szCs w:val="24"/>
        </w:rPr>
        <w:t xml:space="preserve"> de Junho de 2024, das 9h às 16h, no Departamento </w:t>
      </w:r>
      <w:r>
        <w:rPr>
          <w:rFonts w:cs="Cambria" w:ascii="Calibri" w:hAnsi="Calibri" w:asciiTheme="majorHAnsi" w:cstheme="minorHAnsi" w:hAnsiTheme="majorHAnsi"/>
          <w:sz w:val="24"/>
          <w:szCs w:val="24"/>
        </w:rPr>
        <w:t xml:space="preserve">de Cultura e Turismo, </w:t>
      </w:r>
      <w:r>
        <w:rPr>
          <w:rFonts w:ascii="Calibri" w:hAnsi="Calibri" w:asciiTheme="majorHAnsi" w:hAnsiTheme="majorHAnsi"/>
          <w:sz w:val="24"/>
          <w:szCs w:val="24"/>
        </w:rPr>
        <w:t>localizada à Rua Major Correa, 505 - Centro</w:t>
      </w:r>
      <w:r>
        <w:rPr>
          <w:rFonts w:ascii="Calibri" w:hAnsi="Calibri" w:asciiTheme="majorHAnsi" w:hAnsiTheme="majorHAnsi"/>
          <w:sz w:val="24"/>
          <w:szCs w:val="24"/>
          <w:lang w:val="en-US"/>
        </w:rPr>
        <w:t>.</w:t>
      </w:r>
    </w:p>
    <w:p>
      <w:pPr>
        <w:pStyle w:val="Normal"/>
        <w:spacing w:lineRule="auto" w:line="240" w:before="0" w:after="200"/>
        <w:jc w:val="both"/>
        <w:rPr>
          <w:rFonts w:ascii="Calibri" w:hAnsi="Calibri" w:asciiTheme="majorHAnsi" w:hAnsiTheme="majorHAnsi"/>
          <w:color w:val="FF0000"/>
          <w:sz w:val="24"/>
          <w:szCs w:val="24"/>
        </w:rPr>
      </w:pPr>
      <w:r>
        <w:rPr>
          <w:rFonts w:asciiTheme="majorHAnsi" w:hAnsiTheme="majorHAnsi" w:ascii="Calibri" w:hAnsi="Calibri"/>
          <w:color w:val="FF0000"/>
          <w:sz w:val="24"/>
          <w:szCs w:val="24"/>
        </w:rPr>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7.2 O agente cultural deve enviar a seguinte documentação para formalizar a sua participação:</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 xml:space="preserve">a)  Formulário de inscrição conforme </w:t>
      </w:r>
      <w:r>
        <w:rPr>
          <w:rFonts w:ascii="Calibri" w:hAnsi="Calibri" w:asciiTheme="majorHAnsi" w:hAnsiTheme="majorHAnsi"/>
          <w:b/>
          <w:sz w:val="24"/>
          <w:szCs w:val="24"/>
        </w:rPr>
        <w:t>Anexo III</w:t>
      </w:r>
      <w:r>
        <w:rPr>
          <w:rFonts w:ascii="Calibri" w:hAnsi="Calibri" w:asciiTheme="majorHAnsi" w:hAnsiTheme="majorHAnsi"/>
          <w:sz w:val="24"/>
          <w:szCs w:val="24"/>
        </w:rPr>
        <w:t xml:space="preserve">. </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b) Autodeclaração étnico-racial e documentos comprobatórios pertinentes; caso o agente cultural for concorrer às cotas previstas no item 5;</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c) Materiais que comprovem a atuação do agente cultural, tais como: cartazes, folders, fotografias, CDs, DVDs, folhetos, matérias de jornal, links de sites, redes sociais, entre outros, devendo o material estar relacionado à categoria para qual está sendo realizada a inscrição;</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 xml:space="preserve">d) No caso de inscrição de grupo que é um coletivo sem personalidade jurídica, deve haver carta de representação com assinatura das pessoas físicas que são membros do grupo, constituindo uma pessoa física (integrante do grupo) como procuradora que pode inscrever o grupo e receber o prêmio em seu nome, conforme modelo de declaração de representante de coletivo ou grupo cultural, apenso no </w:t>
      </w:r>
      <w:r>
        <w:rPr>
          <w:rFonts w:ascii="Calibri" w:hAnsi="Calibri" w:asciiTheme="majorHAnsi" w:hAnsiTheme="majorHAnsi"/>
          <w:b/>
          <w:sz w:val="24"/>
          <w:szCs w:val="24"/>
        </w:rPr>
        <w:t>Anexo IV</w:t>
      </w:r>
      <w:r>
        <w:rPr>
          <w:rFonts w:ascii="Calibri" w:hAnsi="Calibri" w:asciiTheme="majorHAnsi" w:hAnsiTheme="majorHAnsi"/>
          <w:sz w:val="24"/>
          <w:szCs w:val="24"/>
        </w:rPr>
        <w:t>;</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e) Quando se tratar de pessoa física: RG e CPF, ou, quando se tratar de pessoa jurídica: inscrição no Cadastro Nacional de Pessoa Jurídica - CNPJ, emitida no site da Secretaria da Receita Federal do Brasil;</w:t>
      </w:r>
    </w:p>
    <w:p>
      <w:pPr>
        <w:pStyle w:val="Normal"/>
        <w:spacing w:lineRule="auto" w:line="240"/>
        <w:jc w:val="both"/>
        <w:rPr>
          <w:rFonts w:ascii="Calibri" w:hAnsi="Calibri" w:asciiTheme="majorHAnsi" w:hAnsiTheme="majorHAnsi"/>
          <w:sz w:val="24"/>
        </w:rPr>
      </w:pPr>
      <w:r>
        <w:rPr>
          <w:rFonts w:ascii="Calibri" w:hAnsi="Calibri" w:asciiTheme="majorHAnsi" w:hAnsiTheme="majorHAnsi"/>
          <w:sz w:val="24"/>
        </w:rPr>
        <w:t xml:space="preserve">7.4 Cada proponente poderá concorrer neste edital com no máximo 1 (um) projeto. </w:t>
      </w:r>
    </w:p>
    <w:p>
      <w:pPr>
        <w:pStyle w:val="Normal"/>
        <w:spacing w:lineRule="auto" w:line="240"/>
        <w:jc w:val="both"/>
        <w:rPr>
          <w:rFonts w:ascii="Calibri" w:hAnsi="Calibri" w:asciiTheme="majorHAnsi" w:hAnsiTheme="majorHAnsi"/>
          <w:sz w:val="24"/>
        </w:rPr>
      </w:pPr>
      <w:r>
        <w:rPr>
          <w:rFonts w:asciiTheme="majorHAnsi" w:hAnsiTheme="majorHAnsi" w:ascii="Calibri" w:hAnsi="Calibri"/>
          <w:sz w:val="24"/>
        </w:rPr>
      </w:r>
    </w:p>
    <w:p>
      <w:pPr>
        <w:pStyle w:val="Normal"/>
        <w:spacing w:lineRule="auto" w:line="240"/>
        <w:jc w:val="both"/>
        <w:rPr>
          <w:rFonts w:ascii="Calibri" w:hAnsi="Calibri" w:asciiTheme="majorHAnsi" w:hAnsiTheme="majorHAnsi"/>
          <w:sz w:val="24"/>
          <w:szCs w:val="24"/>
        </w:rPr>
      </w:pPr>
      <w:r>
        <w:rPr>
          <w:rFonts w:ascii="Calibri" w:hAnsi="Calibri" w:asciiTheme="majorHAnsi" w:hAnsiTheme="majorHAnsi"/>
          <w:sz w:val="24"/>
          <w:szCs w:val="24"/>
        </w:rPr>
        <w:t xml:space="preserve">7.5 O agente cultural é responsável pelo envio dos documentos e pela qualidade visual, conteúdo dos arquivos e informações da sua inscrição. </w:t>
      </w:r>
    </w:p>
    <w:p>
      <w:pPr>
        <w:pStyle w:val="Normal"/>
        <w:spacing w:lineRule="auto" w:line="240"/>
        <w:jc w:val="both"/>
        <w:rPr>
          <w:rFonts w:ascii="Calibri" w:hAnsi="Calibri" w:asciiTheme="majorHAnsi" w:hAnsiTheme="majorHAnsi"/>
          <w:sz w:val="24"/>
        </w:rPr>
      </w:pPr>
      <w:r>
        <w:rPr>
          <w:rFonts w:asciiTheme="majorHAnsi" w:hAnsiTheme="majorHAnsi" w:ascii="Calibri" w:hAnsi="Calibri"/>
          <w:sz w:val="24"/>
        </w:rPr>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7.6 O agente cultural deve se responsabilizar pelo acompanhamento das atualizações/publicações pertinentes ao edital e seus prazos.</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7.7 As inscrições deste edital são gratuitas.</w:t>
      </w:r>
    </w:p>
    <w:p>
      <w:pPr>
        <w:pStyle w:val="Normal"/>
        <w:spacing w:lineRule="auto" w:line="240" w:before="0" w:after="200"/>
        <w:jc w:val="both"/>
        <w:rPr/>
      </w:pPr>
      <w:r>
        <w:rPr>
          <w:rFonts w:ascii="Calibri" w:hAnsi="Calibri" w:asciiTheme="majorHAnsi" w:hAnsiTheme="majorHAnsi"/>
          <w:sz w:val="24"/>
          <w:szCs w:val="24"/>
        </w:rPr>
        <w:t xml:space="preserve">7.8 As candidaturas que apresentem quaisquer formas de preconceito de origem, raça, etnia, gênero, cor, idade ou outras formas de discriminação serão desclassificadas, com fundamento no disposto no </w:t>
      </w:r>
      <w:r>
        <w:fldChar w:fldCharType="begin"/>
      </w:r>
      <w:r>
        <w:instrText> HYPERLINK "http://www.planalto.gov.br/ccivil_03/Constituicao/Constituicao.htm" \l "art3iv"</w:instrText>
      </w:r>
      <w:r>
        <w:fldChar w:fldCharType="separate"/>
      </w:r>
      <w:r>
        <w:rPr>
          <w:rStyle w:val="LinkdaInternet"/>
          <w:rFonts w:ascii="Calibri" w:hAnsi="Calibri" w:asciiTheme="majorHAnsi" w:hAnsiTheme="majorHAnsi"/>
          <w:sz w:val="24"/>
          <w:szCs w:val="24"/>
        </w:rPr>
        <w:t>inciso IV do caput do art. 3º da Constituição,</w:t>
      </w:r>
      <w:r>
        <w:fldChar w:fldCharType="end"/>
      </w:r>
      <w:r>
        <w:rPr>
          <w:rFonts w:ascii="Calibri" w:hAnsi="Calibri" w:asciiTheme="majorHAnsi" w:hAnsiTheme="majorHAnsi"/>
          <w:sz w:val="24"/>
          <w:szCs w:val="24"/>
        </w:rPr>
        <w:t xml:space="preserve"> garantidos o contraditório e a ampla defesa.</w:t>
      </w:r>
    </w:p>
    <w:p>
      <w:pPr>
        <w:pStyle w:val="Normal"/>
        <w:spacing w:lineRule="auto" w:line="240"/>
        <w:jc w:val="both"/>
        <w:rPr>
          <w:rFonts w:ascii="Calibri" w:hAnsi="Calibri" w:eastAsia="Times New Roman" w:cs="Times New Roman" w:asciiTheme="majorHAnsi" w:hAnsiTheme="majorHAnsi"/>
          <w:b/>
          <w:b/>
          <w:sz w:val="24"/>
          <w:szCs w:val="24"/>
        </w:rPr>
      </w:pPr>
      <w:r>
        <w:rPr>
          <w:rFonts w:eastAsia="Times New Roman" w:cs="Times New Roman" w:ascii="Calibri" w:hAnsi="Calibri"/>
          <w:b/>
          <w:sz w:val="24"/>
          <w:szCs w:val="24"/>
        </w:rPr>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b/>
          <w:sz w:val="24"/>
          <w:szCs w:val="24"/>
        </w:rPr>
        <w:t>8. ETAPAS DO EDITAL</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8.1 A seleção das candidaturas submetidas a este Edital será composta das seguintes etapas:</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I   - Avaliação e seleção da trajetória cultural, a ser realizada pela Comissão de Seleção;</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II - Habilitação: fase de análise dos documentos de habilitação do agente cultural, descritas no tópico 7.2.</w:t>
      </w:r>
    </w:p>
    <w:p>
      <w:pPr>
        <w:pStyle w:val="Normal"/>
        <w:spacing w:lineRule="auto" w:line="240" w:before="0" w:after="200"/>
        <w:jc w:val="both"/>
        <w:rPr>
          <w:rFonts w:ascii="Calibri" w:hAnsi="Calibri" w:asciiTheme="majorHAnsi" w:hAnsiTheme="majorHAnsi"/>
          <w:b/>
          <w:b/>
          <w:sz w:val="24"/>
          <w:szCs w:val="24"/>
        </w:rPr>
      </w:pPr>
      <w:r>
        <w:rPr>
          <w:rFonts w:ascii="Calibri" w:hAnsi="Calibri" w:asciiTheme="majorHAnsi" w:hAnsiTheme="majorHAnsi"/>
          <w:b/>
          <w:sz w:val="24"/>
          <w:szCs w:val="24"/>
        </w:rPr>
        <w:t>9. ETAPA DE AVALIAÇÃO E SELEÇÃO DAS CANDIDATURAS</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 xml:space="preserve">9.1 A fase de avaliação será composta pela análise da trajetória do agente cultural de acordo com a sua relevante contribuição ao desenvolvimento artístico ou cultural do município de Vargem Grande do Sul, e será realizada por meio da atribuição fundamentada de notas aos critérios descritos no </w:t>
      </w:r>
      <w:r>
        <w:rPr>
          <w:rFonts w:ascii="Calibri" w:hAnsi="Calibri" w:asciiTheme="majorHAnsi" w:hAnsiTheme="majorHAnsi"/>
          <w:b/>
          <w:sz w:val="24"/>
          <w:szCs w:val="24"/>
        </w:rPr>
        <w:t>Anexo II</w:t>
      </w:r>
      <w:r>
        <w:rPr>
          <w:rFonts w:ascii="Calibri" w:hAnsi="Calibri" w:asciiTheme="majorHAnsi" w:hAnsiTheme="majorHAnsi"/>
          <w:sz w:val="24"/>
          <w:szCs w:val="24"/>
        </w:rPr>
        <w:t>.</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9.2 A análise compreende os critérios individuais da candidatura, bem como seus impactos e relevância social em relação aos outros inscritos na mesma categoria. A pontuação de cada agente cultural é atribuída em função desta comparação.</w:t>
      </w:r>
    </w:p>
    <w:p>
      <w:pPr>
        <w:pStyle w:val="Normal"/>
        <w:spacing w:lineRule="auto" w:line="240" w:before="0" w:after="200"/>
        <w:jc w:val="both"/>
        <w:rPr>
          <w:rFonts w:ascii="Calibri" w:hAnsi="Calibri" w:asciiTheme="majorHAnsi" w:hAnsiTheme="majorHAnsi"/>
          <w:color w:val="FF0000"/>
          <w:sz w:val="24"/>
          <w:szCs w:val="24"/>
        </w:rPr>
      </w:pPr>
      <w:r>
        <w:rPr>
          <w:rFonts w:ascii="Calibri" w:hAnsi="Calibri" w:asciiTheme="majorHAnsi" w:hAnsiTheme="majorHAnsi"/>
          <w:sz w:val="24"/>
          <w:szCs w:val="24"/>
        </w:rPr>
        <w:t>9.3 A avaliação e seleção das candidaturas será realizada por uma Comissão de Seleção formada por 3 (três) pareceristas externos contratados para esta finalidade.</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9.4 Os membros da Comissão de Seleção e respectivos suplentes ficam impedidos de participar da apreciação de candidaturas quando:</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I – tiverem interesse direto na matéria;</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II – no caso de inscrição de pessoa jurídica, ou grupo/coletivo: tenham composto o quadro societário da pessoa jurídica ou tenham sido membros do grupo/coletivo nos últimos dois anos, ou se tais situações ocorrem quanto ao cônjuge, companheiro ou parente e afins até o terceiro grau; e</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III - estejam litigando judicial ou administrativamente com o agente cultural ou com respectivo cônjuge ou companheiro.</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9.5 O membro da comissão que incorrer em impedimento deve comunicar o fato à referida Comissão, abstendo-se de atuar, sob pena de nulidade dos atos que praticar.</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 xml:space="preserve">9.6 Para esta seleção serão considerados os critérios de pontuação estabelecidos no </w:t>
      </w:r>
      <w:r>
        <w:rPr>
          <w:rFonts w:ascii="Calibri" w:hAnsi="Calibri" w:asciiTheme="majorHAnsi" w:hAnsiTheme="majorHAnsi"/>
          <w:b/>
          <w:sz w:val="24"/>
          <w:szCs w:val="24"/>
        </w:rPr>
        <w:t>Anexo II</w:t>
      </w:r>
      <w:r>
        <w:rPr>
          <w:rFonts w:ascii="Calibri" w:hAnsi="Calibri" w:asciiTheme="majorHAnsi" w:hAnsiTheme="majorHAnsi"/>
          <w:sz w:val="24"/>
          <w:szCs w:val="24"/>
        </w:rPr>
        <w:t>.</w:t>
      </w:r>
    </w:p>
    <w:p>
      <w:pPr>
        <w:pStyle w:val="Normal"/>
        <w:spacing w:lineRule="auto" w:line="240" w:before="0" w:after="200"/>
        <w:jc w:val="both"/>
        <w:rPr>
          <w:rFonts w:ascii="Calibri" w:hAnsi="Calibri" w:asciiTheme="majorHAnsi" w:hAnsiTheme="majorHAnsi"/>
          <w:color w:val="FF0000"/>
          <w:sz w:val="24"/>
          <w:szCs w:val="24"/>
        </w:rPr>
      </w:pPr>
      <w:r>
        <w:rPr>
          <w:rFonts w:ascii="Calibri" w:hAnsi="Calibri" w:asciiTheme="majorHAnsi" w:hAnsiTheme="majorHAnsi"/>
          <w:sz w:val="24"/>
          <w:szCs w:val="24"/>
        </w:rPr>
        <w:t>9.7 Contra a decisão da fase de avaliação, caberá recurso destinado ao Departamento de Cultura e Turismo no prazo de 5 dias úteis, a contar da publicação do resultado, considerando-se para início da contagem o primeiro dia útil posterior à publicação.</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 xml:space="preserve">9.8 Os recursos apresentados após o prazo não serão avaliados. </w:t>
      </w:r>
    </w:p>
    <w:p>
      <w:pPr>
        <w:pStyle w:val="Normal"/>
        <w:spacing w:lineRule="auto" w:line="240" w:before="0" w:after="200"/>
        <w:jc w:val="both"/>
        <w:rPr/>
      </w:pPr>
      <w:r>
        <w:rPr>
          <w:rFonts w:ascii="Calibri" w:hAnsi="Calibri" w:asciiTheme="majorHAnsi" w:hAnsiTheme="majorHAnsi"/>
          <w:sz w:val="24"/>
          <w:szCs w:val="24"/>
        </w:rPr>
        <w:t xml:space="preserve">9.9 Após o julgamento dos recursos, o resultado final da análise de avaliação será divulgado no site da prefeitura: </w:t>
      </w:r>
      <w:hyperlink r:id="rId2">
        <w:r>
          <w:rPr>
            <w:rStyle w:val="LinkdaInternet"/>
            <w:rFonts w:ascii="Calibri" w:hAnsi="Calibri" w:asciiTheme="majorHAnsi" w:hAnsiTheme="majorHAnsi"/>
            <w:sz w:val="24"/>
            <w:szCs w:val="24"/>
          </w:rPr>
          <w:t>www.vgsul.sp.gov.br</w:t>
        </w:r>
      </w:hyperlink>
      <w:r>
        <w:rPr>
          <w:rFonts w:ascii="Calibri" w:hAnsi="Calibri" w:asciiTheme="majorHAnsi" w:hAnsiTheme="majorHAnsi"/>
          <w:sz w:val="24"/>
          <w:szCs w:val="24"/>
        </w:rPr>
        <w:t xml:space="preserve">  </w:t>
      </w:r>
    </w:p>
    <w:p>
      <w:pPr>
        <w:pStyle w:val="Normal"/>
        <w:spacing w:lineRule="auto" w:line="240"/>
        <w:ind w:left="1440" w:hanging="0"/>
        <w:jc w:val="both"/>
        <w:rPr>
          <w:rFonts w:ascii="Calibri" w:hAnsi="Calibri" w:eastAsia="Times New Roman" w:cs="Times New Roman" w:asciiTheme="majorHAnsi" w:hAnsiTheme="majorHAnsi"/>
          <w:sz w:val="24"/>
          <w:szCs w:val="24"/>
        </w:rPr>
      </w:pPr>
      <w:r>
        <w:rPr>
          <w:rFonts w:eastAsia="Times New Roman" w:cs="Times New Roman" w:ascii="Calibri" w:hAnsi="Calibri"/>
          <w:sz w:val="24"/>
          <w:szCs w:val="24"/>
        </w:rPr>
      </w:r>
    </w:p>
    <w:p>
      <w:pPr>
        <w:pStyle w:val="Normal"/>
        <w:spacing w:lineRule="auto" w:line="240" w:before="0" w:after="200"/>
        <w:jc w:val="both"/>
        <w:rPr>
          <w:rFonts w:ascii="Calibri" w:hAnsi="Calibri" w:asciiTheme="majorHAnsi" w:hAnsiTheme="majorHAnsi"/>
          <w:b/>
          <w:b/>
          <w:sz w:val="24"/>
          <w:szCs w:val="24"/>
        </w:rPr>
      </w:pPr>
      <w:r>
        <w:rPr>
          <w:rFonts w:ascii="Calibri" w:hAnsi="Calibri" w:asciiTheme="majorHAnsi" w:hAnsiTheme="majorHAnsi"/>
          <w:b/>
          <w:sz w:val="24"/>
          <w:szCs w:val="24"/>
        </w:rPr>
        <w:t xml:space="preserve">10. ETAPA DE HABILITAÇÃO </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10.1 Finalizada a etapa de avaliação e seleção das candidaturas, o agente cultural selecionado deverá apresentar os seguintes documentos, conforme sua natureza jurídica, no prazo de 5 dias úteis:</w:t>
      </w:r>
    </w:p>
    <w:p>
      <w:pPr>
        <w:pStyle w:val="Normal"/>
        <w:spacing w:lineRule="auto" w:line="240" w:before="0" w:after="200"/>
        <w:rPr>
          <w:rFonts w:ascii="Calibri" w:hAnsi="Calibri" w:asciiTheme="majorHAnsi" w:hAnsiTheme="majorHAnsi"/>
          <w:sz w:val="24"/>
          <w:szCs w:val="24"/>
        </w:rPr>
      </w:pPr>
      <w:r>
        <w:rPr>
          <w:rFonts w:ascii="Calibri" w:hAnsi="Calibri" w:asciiTheme="majorHAnsi" w:hAnsiTheme="majorHAnsi"/>
          <w:sz w:val="24"/>
          <w:szCs w:val="24"/>
        </w:rPr>
        <w:t>10.1.1. PESSOA FÍSICA</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I - comprovante de residência, por meio da apresentação de contas relativas à residência ou de declaração assinada pelo agente cultural.</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10.1.1.2 A comprovação de residência poderá ser dispensada nas hipóteses de agentes culturais:</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I - pertencentes à comunidade indígena, quilombola, cigana ou circense;</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II - pertencentes à população nômade ou itinerante; ou</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III - que se encontrem em situação de rua.</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10.1.2 Grupos ou coletivos sem personalidade jurídica devem juntar a documentação do representante do grupo ou coletivo.</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10.1.2. PESSOA JURÍDICA</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I - inscrição no cadastro nacional de pessoa jurídica - CNPJ, emitida no site da Secretaria da Receita Federal do Brasil;</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II - contrato social, nos casos de pessoas jurídicas com fins lucrativos, ou estatuto, nos casos de organizações da sociedade civil;</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III - certidão negativa de débitos relativos a Créditos Tributários Federais e à Dívida Ativa da União;</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IV - certidões negativas de débitos estaduais e municipais, expedidas pelos respectivos órgãos Estadual e Municipal.</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V - certificado de regularidade do Fundo de Garantia do Tempo de Serviço - CRF/FGTS;</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VI - certidão negativa de débitos trabalhistas - CNDT, emitida no site do Tribunal Superior do Trabalho.</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10.2 As certidões positivas com efeito de negativas servirão como certidões negativas, desde que não haja referência expressa de impossibilidade de celebrar instrumentos jurídicos com a administração pública.</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 xml:space="preserve">10.3 </w:t>
      </w:r>
      <w:r>
        <w:rPr>
          <w:rFonts w:cs="Cambria" w:ascii="Calibri" w:hAnsi="Calibri" w:asciiTheme="majorHAnsi" w:cstheme="minorHAnsi" w:hAnsiTheme="majorHAnsi"/>
          <w:color w:val="000000"/>
        </w:rPr>
        <w:t>Contra a decisão da fase de habilitação, caberá recurso fundamentado e específico destinado ao Departamento responsável por este edital.</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10.4  Os recursos de trata o item 10.3 deverão ser apresentados no prazo de 3 dias úteis a contar da publicação do resultado, considerando-se para início da contagem o primeiro dia útil posterior à publicação, não cabendo recurso administrativo da decisão após esta fase.</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10.5 Os recursos apresentados após o prazo não serão avaliados.</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asciiTheme="majorHAnsi" w:hAnsiTheme="majorHAnsi"/>
          <w:color w:val="000000"/>
        </w:rPr>
        <w:t>10.6 Caso o proponente esteja em débito com o ente público responsável pela seleção e com a União não será possível o recebimento dos recursos de que trata este Edital.</w:t>
      </w:r>
    </w:p>
    <w:p>
      <w:pPr>
        <w:pStyle w:val="Textojustificado"/>
        <w:spacing w:beforeAutospacing="0" w:before="120" w:afterAutospacing="0" w:after="120"/>
        <w:ind w:right="-1" w:hanging="0"/>
        <w:jc w:val="both"/>
        <w:rPr>
          <w:rFonts w:ascii="Calibri" w:hAnsi="Calibri" w:cs="Calibri" w:asciiTheme="majorHAnsi" w:hAnsiTheme="majorHAnsi"/>
          <w:color w:val="000000"/>
        </w:rPr>
      </w:pPr>
      <w:r>
        <w:rPr>
          <w:rFonts w:cs="Calibri" w:ascii="Calibri" w:hAnsi="Calibri"/>
          <w:color w:val="000000"/>
        </w:rPr>
      </w:r>
    </w:p>
    <w:p>
      <w:pPr>
        <w:pStyle w:val="Normal"/>
        <w:spacing w:lineRule="auto" w:line="240" w:before="0" w:after="200"/>
        <w:jc w:val="both"/>
        <w:rPr>
          <w:rFonts w:ascii="Calibri" w:hAnsi="Calibri" w:asciiTheme="majorHAnsi" w:hAnsiTheme="majorHAnsi"/>
          <w:b/>
          <w:b/>
          <w:sz w:val="24"/>
          <w:szCs w:val="24"/>
        </w:rPr>
      </w:pPr>
      <w:r>
        <w:rPr>
          <w:rFonts w:ascii="Calibri" w:hAnsi="Calibri" w:asciiTheme="majorHAnsi" w:hAnsiTheme="majorHAnsi"/>
          <w:b/>
          <w:sz w:val="24"/>
          <w:szCs w:val="24"/>
        </w:rPr>
        <w:t>11. REMANEJAMENTO DOS RECURSOS</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 xml:space="preserve">11.1 Caso alguma categoria não tenha todas as vagas preenchidas, os recursos que seriam inicialmente desta categoria poderão ser remanejados para outra categoria, de acordo com o </w:t>
      </w:r>
      <w:r>
        <w:rPr>
          <w:rFonts w:ascii="Calibri" w:hAnsi="Calibri" w:asciiTheme="majorHAnsi" w:hAnsiTheme="majorHAnsi"/>
          <w:b/>
          <w:sz w:val="24"/>
          <w:szCs w:val="24"/>
        </w:rPr>
        <w:t>Anexo I</w:t>
      </w:r>
      <w:r>
        <w:rPr>
          <w:rFonts w:ascii="Calibri" w:hAnsi="Calibri" w:asciiTheme="majorHAnsi" w:hAnsiTheme="majorHAnsi"/>
          <w:sz w:val="24"/>
          <w:szCs w:val="24"/>
        </w:rPr>
        <w:t xml:space="preserve"> desde edital.</w:t>
      </w:r>
    </w:p>
    <w:p>
      <w:pPr>
        <w:pStyle w:val="Normal"/>
        <w:spacing w:lineRule="auto" w:line="240"/>
        <w:jc w:val="both"/>
        <w:rPr>
          <w:rFonts w:ascii="Calibri" w:hAnsi="Calibri" w:eastAsia="Times New Roman" w:cs="Times New Roman" w:asciiTheme="majorHAnsi" w:hAnsiTheme="majorHAnsi"/>
          <w:b/>
          <w:b/>
          <w:sz w:val="24"/>
          <w:szCs w:val="24"/>
        </w:rPr>
      </w:pPr>
      <w:r>
        <w:rPr>
          <w:rFonts w:eastAsia="Times New Roman" w:cs="Times New Roman" w:ascii="Calibri" w:hAnsi="Calibri"/>
          <w:b/>
          <w:sz w:val="24"/>
          <w:szCs w:val="24"/>
        </w:rPr>
      </w:r>
    </w:p>
    <w:p>
      <w:pPr>
        <w:pStyle w:val="Normal"/>
        <w:spacing w:lineRule="auto" w:line="240" w:before="0" w:after="200"/>
        <w:jc w:val="both"/>
        <w:rPr>
          <w:rFonts w:ascii="Calibri" w:hAnsi="Calibri" w:asciiTheme="majorHAnsi" w:hAnsiTheme="majorHAnsi"/>
          <w:b/>
          <w:b/>
          <w:sz w:val="24"/>
          <w:szCs w:val="24"/>
        </w:rPr>
      </w:pPr>
      <w:r>
        <w:rPr>
          <w:rFonts w:ascii="Calibri" w:hAnsi="Calibri" w:asciiTheme="majorHAnsi" w:hAnsiTheme="majorHAnsi"/>
          <w:b/>
          <w:sz w:val="24"/>
          <w:szCs w:val="24"/>
        </w:rPr>
        <w:t xml:space="preserve">12. ASSINATURA DO RECIBO </w:t>
      </w:r>
    </w:p>
    <w:p>
      <w:pPr>
        <w:pStyle w:val="Normal"/>
        <w:spacing w:lineRule="auto" w:line="240"/>
        <w:jc w:val="both"/>
        <w:rPr>
          <w:rFonts w:ascii="Calibri" w:hAnsi="Calibri" w:asciiTheme="majorHAnsi" w:hAnsiTheme="majorHAnsi"/>
          <w:sz w:val="24"/>
          <w:szCs w:val="24"/>
        </w:rPr>
      </w:pPr>
      <w:r>
        <w:rPr>
          <w:rFonts w:ascii="Calibri" w:hAnsi="Calibri" w:asciiTheme="majorHAnsi" w:hAnsiTheme="majorHAnsi"/>
          <w:sz w:val="24"/>
          <w:szCs w:val="24"/>
        </w:rPr>
        <w:t xml:space="preserve">12.1. Após a divulgação do resultado, o agente cultural contemplado será convocado a assinar o Recibo de Premiação Cultural, conforme </w:t>
      </w:r>
      <w:r>
        <w:rPr>
          <w:rFonts w:ascii="Calibri" w:hAnsi="Calibri" w:asciiTheme="majorHAnsi" w:hAnsiTheme="majorHAnsi"/>
          <w:b/>
          <w:sz w:val="24"/>
          <w:szCs w:val="24"/>
        </w:rPr>
        <w:t>Anexo V</w:t>
      </w:r>
      <w:r>
        <w:rPr>
          <w:rFonts w:ascii="Calibri" w:hAnsi="Calibri" w:asciiTheme="majorHAnsi" w:hAnsiTheme="majorHAnsi"/>
          <w:sz w:val="24"/>
          <w:szCs w:val="24"/>
        </w:rPr>
        <w:t>.</w:t>
      </w:r>
    </w:p>
    <w:p>
      <w:pPr>
        <w:pStyle w:val="Normal"/>
        <w:spacing w:lineRule="auto" w:line="240"/>
        <w:jc w:val="both"/>
        <w:rPr>
          <w:rFonts w:ascii="Calibri" w:hAnsi="Calibri" w:eastAsia="Times New Roman" w:cs="Times New Roman" w:asciiTheme="majorHAnsi" w:hAnsiTheme="majorHAnsi"/>
          <w:b/>
          <w:b/>
          <w:sz w:val="24"/>
          <w:szCs w:val="24"/>
        </w:rPr>
      </w:pPr>
      <w:r>
        <w:rPr>
          <w:rFonts w:eastAsia="Times New Roman" w:cs="Times New Roman" w:ascii="Calibri" w:hAnsi="Calibri"/>
          <w:b/>
          <w:sz w:val="24"/>
          <w:szCs w:val="24"/>
        </w:rPr>
      </w:r>
    </w:p>
    <w:p>
      <w:pPr>
        <w:pStyle w:val="Normal"/>
        <w:spacing w:lineRule="auto" w:line="240"/>
        <w:jc w:val="both"/>
        <w:rPr>
          <w:rFonts w:ascii="Calibri" w:hAnsi="Calibri" w:asciiTheme="majorHAnsi" w:hAnsiTheme="majorHAnsi"/>
          <w:b/>
          <w:b/>
          <w:sz w:val="24"/>
          <w:szCs w:val="24"/>
        </w:rPr>
      </w:pPr>
      <w:r>
        <w:rPr>
          <w:rFonts w:ascii="Calibri" w:hAnsi="Calibri" w:asciiTheme="majorHAnsi" w:hAnsiTheme="majorHAnsi"/>
          <w:b/>
          <w:sz w:val="24"/>
          <w:szCs w:val="24"/>
        </w:rPr>
        <w:t>13. DISPOSIÇÕES FINAIS</w:t>
      </w:r>
    </w:p>
    <w:p>
      <w:pPr>
        <w:pStyle w:val="Normal"/>
        <w:spacing w:lineRule="auto" w:line="240"/>
        <w:jc w:val="both"/>
        <w:rPr>
          <w:rFonts w:ascii="Calibri" w:hAnsi="Calibri" w:asciiTheme="majorHAnsi" w:hAnsiTheme="majorHAnsi"/>
          <w:b/>
          <w:b/>
          <w:sz w:val="24"/>
          <w:szCs w:val="24"/>
        </w:rPr>
      </w:pPr>
      <w:r>
        <w:rPr>
          <w:rFonts w:asciiTheme="majorHAnsi" w:hAnsiTheme="majorHAnsi" w:ascii="Calibri" w:hAnsi="Calibri"/>
          <w:b/>
          <w:sz w:val="24"/>
          <w:szCs w:val="24"/>
        </w:rPr>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13.1 O recebimento do prêmio está condicionado à existência de disponibilidade orçamentária e financeira, caracterizando a seleção como expectativa de direito do agente cultural.</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13.2 A prestação de informações não será exigida na modalidade de premiação.</w:t>
      </w:r>
    </w:p>
    <w:p>
      <w:pPr>
        <w:pStyle w:val="Normal"/>
        <w:spacing w:lineRule="auto" w:line="240" w:before="0" w:after="200"/>
        <w:jc w:val="both"/>
        <w:rPr/>
      </w:pPr>
      <w:r>
        <w:rPr>
          <w:rFonts w:ascii="Calibri" w:hAnsi="Calibri" w:asciiTheme="majorHAnsi" w:hAnsiTheme="majorHAnsi"/>
          <w:sz w:val="24"/>
          <w:szCs w:val="24"/>
        </w:rPr>
        <w:t xml:space="preserve">13.3   O presente Edital e os seus anexos estarão disponíveis no site </w:t>
      </w:r>
      <w:hyperlink r:id="rId3">
        <w:r>
          <w:rPr>
            <w:rStyle w:val="LinkdaInternet"/>
            <w:rFonts w:ascii="Calibri" w:hAnsi="Calibri" w:asciiTheme="majorHAnsi" w:hAnsiTheme="majorHAnsi"/>
            <w:sz w:val="24"/>
            <w:szCs w:val="24"/>
          </w:rPr>
          <w:t>www.vgsul.sp.gov.br</w:t>
        </w:r>
      </w:hyperlink>
      <w:r>
        <w:rPr>
          <w:rFonts w:ascii="Calibri" w:hAnsi="Calibri" w:asciiTheme="majorHAnsi" w:hAnsiTheme="majorHAnsi"/>
          <w:sz w:val="24"/>
          <w:szCs w:val="24"/>
        </w:rPr>
        <w:t xml:space="preserve">.  Demais informações podem ser obtidas através do e-mail </w:t>
      </w:r>
      <w:hyperlink r:id="rId4">
        <w:r>
          <w:rPr>
            <w:rStyle w:val="LinkdaInternet"/>
            <w:rFonts w:ascii="Calibri" w:hAnsi="Calibri" w:asciiTheme="majorHAnsi" w:hAnsiTheme="majorHAnsi"/>
            <w:sz w:val="24"/>
            <w:szCs w:val="24"/>
          </w:rPr>
          <w:t>grupo.cultura@vgsul.sp.gov.br</w:t>
        </w:r>
      </w:hyperlink>
      <w:r>
        <w:rPr>
          <w:rFonts w:ascii="Calibri" w:hAnsi="Calibri" w:asciiTheme="majorHAnsi" w:hAnsiTheme="majorHAnsi"/>
          <w:sz w:val="24"/>
          <w:szCs w:val="24"/>
        </w:rPr>
        <w:t xml:space="preserve"> e telefone (19) </w:t>
      </w:r>
      <w:r>
        <w:rPr>
          <w:rFonts w:ascii="Calibri" w:hAnsi="Calibri" w:asciiTheme="majorHAnsi" w:hAnsiTheme="majorHAnsi"/>
          <w:sz w:val="24"/>
        </w:rPr>
        <w:t>3641-6199.</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13.4 A inscrição implica no conhecimento e concordância dos termos e condições previstos neste Edital, na Lei Complementar nº 195/2022 (Lei Paulo Gustavo), no Decreto nº 11.525/2023 (Decreto Paulo Gustavo) e no Decreto nº 11.453/2023 (Decreto de Fomento), sem prejuízo das legislações locais.</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13.5  Na contagem de todos os prazos estabelecidos neste edital, será excluído o dia de início e incluído o dia do vencimento, e serão contados em dias corridos, exceto se for expressa a contagem em dias úteis.</w:t>
      </w:r>
    </w:p>
    <w:p>
      <w:pPr>
        <w:pStyle w:val="Normal"/>
        <w:spacing w:lineRule="auto" w:line="240" w:before="0" w:after="200"/>
        <w:jc w:val="both"/>
        <w:rPr/>
      </w:pPr>
      <w:r>
        <w:rPr>
          <w:rFonts w:ascii="Calibri" w:hAnsi="Calibri" w:asciiTheme="majorHAnsi" w:hAnsiTheme="majorHAnsi"/>
          <w:sz w:val="24"/>
          <w:szCs w:val="24"/>
        </w:rPr>
        <w:t xml:space="preserve">13.6  O acompanhamento de todas as etapas deste Edital e a observância quanto aos prazos serão de inteira responsabilidade dos agentes culturais. Para tanto, deverão ficar atentos às publicações no site da prefeitura </w:t>
      </w:r>
      <w:hyperlink r:id="rId5">
        <w:r>
          <w:rPr>
            <w:rStyle w:val="LinkdaInternet"/>
            <w:rFonts w:ascii="Calibri" w:hAnsi="Calibri" w:asciiTheme="majorHAnsi" w:hAnsiTheme="majorHAnsi"/>
            <w:sz w:val="24"/>
            <w:szCs w:val="24"/>
          </w:rPr>
          <w:t>www.vgsul.sp.gov.br</w:t>
        </w:r>
      </w:hyperlink>
      <w:r>
        <w:rPr>
          <w:rFonts w:ascii="Calibri" w:hAnsi="Calibri" w:asciiTheme="majorHAnsi" w:hAnsiTheme="majorHAnsi"/>
          <w:sz w:val="24"/>
          <w:szCs w:val="24"/>
        </w:rPr>
        <w:t xml:space="preserve">  e nas mídias sociais oficiais.</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 xml:space="preserve">13.7 Eventuais irregularidades relacionadas aos requisitos de participação, constatadas a qualquer tempo, implicarão na desclassificação do agente cultural. </w:t>
      </w:r>
    </w:p>
    <w:p>
      <w:pPr>
        <w:pStyle w:val="Normal"/>
        <w:spacing w:lineRule="auto" w:line="240" w:before="0" w:after="200"/>
        <w:jc w:val="both"/>
        <w:rPr/>
      </w:pPr>
      <w:r>
        <w:rPr>
          <w:rFonts w:ascii="Calibri" w:hAnsi="Calibri" w:asciiTheme="majorHAnsi" w:hAnsiTheme="majorHAnsi"/>
          <w:sz w:val="24"/>
          <w:szCs w:val="24"/>
        </w:rPr>
        <w:t>13.8 O agente cultural será o único responsável pela veracidade das informações constantes da candidatura e documentos encaminhados, isentando o ente público de qualquer responsabilidade civil ou penal.</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13.9 O resultado do chamamento público regido por este Edital terá validade de 60 dias úteis, prazo do qual os selecionados poderão ser convocados para receber o prêmio.</w:t>
      </w:r>
    </w:p>
    <w:p>
      <w:pPr>
        <w:pStyle w:val="Normal"/>
        <w:spacing w:lineRule="auto" w:line="240" w:before="0" w:after="200"/>
        <w:jc w:val="both"/>
        <w:rPr/>
      </w:pPr>
      <w:r>
        <w:rPr>
          <w:rFonts w:ascii="Calibri" w:hAnsi="Calibri" w:asciiTheme="majorHAnsi" w:hAnsiTheme="majorHAnsi"/>
          <w:sz w:val="24"/>
          <w:szCs w:val="24"/>
        </w:rPr>
        <w:t xml:space="preserve">13.10 Este Edital é composto pelos seguintes anexos, que serão disponibilizados em </w:t>
      </w:r>
      <w:hyperlink r:id="rId6">
        <w:r>
          <w:rPr>
            <w:rStyle w:val="LinkdaInternet"/>
            <w:rFonts w:ascii="Calibri" w:hAnsi="Calibri" w:asciiTheme="majorHAnsi" w:hAnsiTheme="majorHAnsi"/>
            <w:sz w:val="24"/>
            <w:szCs w:val="24"/>
          </w:rPr>
          <w:t>www.vgsul.sp.gov.br</w:t>
        </w:r>
      </w:hyperlink>
      <w:r>
        <w:rPr>
          <w:rFonts w:ascii="Calibri" w:hAnsi="Calibri" w:asciiTheme="majorHAnsi" w:hAnsiTheme="majorHAnsi"/>
          <w:sz w:val="24"/>
          <w:szCs w:val="24"/>
        </w:rPr>
        <w:t xml:space="preserve"> </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 xml:space="preserve">Anexo I - Categorias </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Anexo II - Critérios de seleção e bônus de pontuação</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 xml:space="preserve">Anexo III - Formulário de Inscrição  </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Anexo IV - Declaração de representação de grupo ou coletivo cultural</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 xml:space="preserve">Anexo V - Recibo de Premiação Cultural </w:t>
      </w:r>
    </w:p>
    <w:p>
      <w:pPr>
        <w:pStyle w:val="Normal"/>
        <w:spacing w:lineRule="auto" w:line="240" w:before="0" w:after="200"/>
        <w:jc w:val="both"/>
        <w:rPr>
          <w:rFonts w:ascii="Calibri" w:hAnsi="Calibri" w:asciiTheme="majorHAnsi" w:hAnsiTheme="majorHAnsi"/>
          <w:sz w:val="24"/>
          <w:szCs w:val="24"/>
        </w:rPr>
      </w:pPr>
      <w:r>
        <w:rPr>
          <w:rFonts w:ascii="Calibri" w:hAnsi="Calibri" w:asciiTheme="majorHAnsi" w:hAnsiTheme="majorHAnsi"/>
          <w:sz w:val="24"/>
          <w:szCs w:val="24"/>
        </w:rPr>
        <w:t>Anexo VI - Declaração étnico-racial</w:t>
      </w:r>
    </w:p>
    <w:p>
      <w:pPr>
        <w:pStyle w:val="Normal"/>
        <w:spacing w:lineRule="auto" w:line="240" w:before="0" w:after="200"/>
        <w:jc w:val="both"/>
        <w:rPr>
          <w:rFonts w:ascii="Calibri" w:hAnsi="Calibri" w:asciiTheme="majorHAnsi" w:hAnsiTheme="majorHAnsi"/>
          <w:sz w:val="24"/>
          <w:szCs w:val="24"/>
        </w:rPr>
      </w:pPr>
      <w:r>
        <w:rPr>
          <w:rFonts w:asciiTheme="majorHAnsi" w:hAnsiTheme="majorHAnsi" w:ascii="Calibri" w:hAnsi="Calibri"/>
          <w:sz w:val="24"/>
          <w:szCs w:val="24"/>
        </w:rPr>
      </w:r>
    </w:p>
    <w:p>
      <w:pPr>
        <w:pStyle w:val="Normal"/>
        <w:spacing w:lineRule="auto" w:line="240" w:before="0" w:after="200"/>
        <w:jc w:val="both"/>
        <w:rPr>
          <w:rFonts w:ascii="Calibri" w:hAnsi="Calibri" w:asciiTheme="majorHAnsi" w:hAnsiTheme="majorHAnsi"/>
          <w:sz w:val="24"/>
          <w:szCs w:val="24"/>
        </w:rPr>
      </w:pPr>
      <w:r>
        <w:rPr>
          <w:rFonts w:asciiTheme="majorHAnsi" w:hAnsiTheme="majorHAnsi" w:ascii="Calibri" w:hAnsi="Calibri"/>
          <w:sz w:val="24"/>
          <w:szCs w:val="24"/>
        </w:rPr>
      </w:r>
    </w:p>
    <w:p>
      <w:pPr>
        <w:pStyle w:val="Normal"/>
        <w:spacing w:lineRule="auto" w:line="240"/>
        <w:ind w:right="-1" w:hanging="0"/>
        <w:jc w:val="center"/>
        <w:rPr>
          <w:sz w:val="24"/>
          <w:szCs w:val="24"/>
        </w:rPr>
      </w:pPr>
      <w:r>
        <w:rPr>
          <w:sz w:val="24"/>
          <w:szCs w:val="24"/>
        </w:rPr>
        <w:t>________________________________</w:t>
      </w:r>
    </w:p>
    <w:p>
      <w:pPr>
        <w:pStyle w:val="Normal"/>
        <w:spacing w:lineRule="auto" w:line="240"/>
        <w:ind w:right="-1" w:hanging="0"/>
        <w:jc w:val="center"/>
        <w:rPr>
          <w:sz w:val="24"/>
          <w:szCs w:val="24"/>
          <w:highlight w:val="yellow"/>
        </w:rPr>
      </w:pPr>
      <w:r>
        <w:rPr>
          <w:sz w:val="24"/>
          <w:szCs w:val="24"/>
          <w:highlight w:val="yellow"/>
        </w:rPr>
      </w:r>
    </w:p>
    <w:p>
      <w:pPr>
        <w:pStyle w:val="Normal"/>
        <w:spacing w:lineRule="auto" w:line="240"/>
        <w:ind w:right="-1" w:hanging="0"/>
        <w:jc w:val="center"/>
        <w:rPr>
          <w:rFonts w:ascii="Calibri" w:hAnsi="Calibri" w:asciiTheme="majorHAnsi" w:hAnsiTheme="majorHAnsi"/>
          <w:highlight w:val="white"/>
        </w:rPr>
      </w:pPr>
      <w:r>
        <w:rPr>
          <w:rFonts w:ascii="Calibri" w:hAnsi="Calibri" w:asciiTheme="majorHAnsi" w:hAnsiTheme="majorHAnsi"/>
          <w:sz w:val="24"/>
          <w:szCs w:val="24"/>
          <w:highlight w:val="white"/>
        </w:rPr>
        <w:t>Marcia Ribeiro Iared</w:t>
      </w:r>
    </w:p>
    <w:p>
      <w:pPr>
        <w:pStyle w:val="Normal"/>
        <w:spacing w:lineRule="auto" w:line="240"/>
        <w:ind w:right="-1" w:hanging="0"/>
        <w:jc w:val="center"/>
        <w:rPr>
          <w:rFonts w:ascii="Calibri" w:hAnsi="Calibri" w:asciiTheme="majorHAnsi" w:hAnsiTheme="majorHAnsi"/>
          <w:highlight w:val="white"/>
        </w:rPr>
      </w:pPr>
      <w:r>
        <w:rPr>
          <w:rFonts w:ascii="Calibri" w:hAnsi="Calibri" w:asciiTheme="majorHAnsi" w:hAnsiTheme="majorHAnsi"/>
          <w:sz w:val="24"/>
          <w:szCs w:val="24"/>
          <w:highlight w:val="white"/>
        </w:rPr>
        <w:t>Diretora de Cultura</w:t>
      </w:r>
    </w:p>
    <w:p>
      <w:pPr>
        <w:pStyle w:val="Normal"/>
        <w:spacing w:lineRule="auto" w:line="240" w:before="0" w:after="200"/>
        <w:jc w:val="both"/>
        <w:rPr>
          <w:rFonts w:ascii="Calibri" w:hAnsi="Calibri" w:asciiTheme="majorHAnsi" w:hAnsiTheme="majorHAnsi"/>
          <w:sz w:val="24"/>
          <w:szCs w:val="24"/>
        </w:rPr>
      </w:pPr>
      <w:r>
        <w:rPr>
          <w:rFonts w:asciiTheme="majorHAnsi" w:hAnsiTheme="majorHAnsi" w:ascii="Calibri" w:hAnsi="Calibri"/>
          <w:sz w:val="24"/>
          <w:szCs w:val="24"/>
        </w:rPr>
      </w:r>
    </w:p>
    <w:p>
      <w:pPr>
        <w:pStyle w:val="Normal"/>
        <w:spacing w:lineRule="auto" w:line="240"/>
        <w:rPr>
          <w:rFonts w:ascii="Calibri" w:hAnsi="Calibri" w:asciiTheme="majorHAnsi" w:hAnsiTheme="majorHAnsi"/>
          <w:sz w:val="24"/>
          <w:szCs w:val="24"/>
        </w:rPr>
      </w:pPr>
      <w:r>
        <w:rPr>
          <w:rFonts w:asciiTheme="majorHAnsi" w:hAnsiTheme="majorHAnsi" w:ascii="Calibri" w:hAnsi="Calibri"/>
          <w:sz w:val="24"/>
          <w:szCs w:val="24"/>
        </w:rPr>
      </w:r>
    </w:p>
    <w:p>
      <w:pPr>
        <w:pStyle w:val="Normal"/>
        <w:spacing w:lineRule="auto" w:line="240"/>
        <w:jc w:val="both"/>
        <w:rPr>
          <w:rFonts w:ascii="Calibri" w:hAnsi="Calibri" w:eastAsia="Times New Roman" w:cs="Times New Roman" w:asciiTheme="majorHAnsi" w:hAnsiTheme="majorHAnsi"/>
          <w:sz w:val="24"/>
          <w:szCs w:val="24"/>
        </w:rPr>
      </w:pPr>
      <w:r>
        <w:rPr>
          <w:rFonts w:eastAsia="Times New Roman" w:cs="Times New Roman" w:ascii="Calibri" w:hAnsi="Calibri"/>
          <w:sz w:val="24"/>
          <w:szCs w:val="24"/>
        </w:rPr>
      </w:r>
    </w:p>
    <w:p>
      <w:pPr>
        <w:pStyle w:val="Normal"/>
        <w:spacing w:lineRule="auto" w:line="240"/>
        <w:ind w:left="520" w:right="540" w:hanging="0"/>
        <w:rPr/>
      </w:pPr>
      <w:r>
        <w:rPr/>
      </w:r>
    </w:p>
    <w:sectPr>
      <w:headerReference w:type="default" r:id="rId7"/>
      <w:footerReference w:type="default" r:id="rId8"/>
      <w:type w:val="nextPage"/>
      <w:pgSz w:w="11906" w:h="16838"/>
      <w:pgMar w:left="1440" w:right="1440" w:header="720" w:top="1440" w:footer="720" w:bottom="1440" w:gutter="0"/>
      <w:pgNumType w:start="1"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ucida Grande">
    <w:charset w:val="00"/>
    <w:family w:val="roman"/>
    <w:pitch w:val="variable"/>
  </w:font>
  <w:font w:name="Liberation Sans">
    <w:altName w:val="Arial"/>
    <w:charset w:val="00"/>
    <w:family w:val="roman"/>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center"/>
      <w:rPr/>
    </w:pPr>
    <w:r>
      <w:rPr/>
      <w:drawing>
        <wp:inline distT="0" distB="0" distL="0" distR="0">
          <wp:extent cx="2612390" cy="541020"/>
          <wp:effectExtent l="0" t="0" r="0" b="0"/>
          <wp:docPr id="3"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
                  <pic:cNvPicPr>
                    <a:picLocks noChangeAspect="1" noChangeArrowheads="1"/>
                  </pic:cNvPicPr>
                </pic:nvPicPr>
                <pic:blipFill>
                  <a:blip r:embed="rId1"/>
                  <a:stretch>
                    <a:fillRect/>
                  </a:stretch>
                </pic:blipFill>
                <pic:spPr bwMode="auto">
                  <a:xfrm>
                    <a:off x="0" y="0"/>
                    <a:ext cx="2612390" cy="541020"/>
                  </a:xfrm>
                  <a:prstGeom prst="rect">
                    <a:avLst/>
                  </a:prstGeom>
                </pic:spPr>
              </pic:pic>
            </a:graphicData>
          </a:graphic>
        </wp:inline>
      </w:drawing>
    </w:r>
    <w:r>
      <w:rPr/>
      <w:fldChar w:fldCharType="begin"/>
    </w:r>
    <w:r>
      <w:instrText> PAGE </w:instrText>
    </w:r>
    <w:r>
      <w:fldChar w:fldCharType="separate"/>
    </w:r>
    <w:r>
      <w:t>9</w:t>
    </w:r>
    <w: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widowControl/>
      <w:tabs>
        <w:tab w:val="center" w:pos="4320" w:leader="none"/>
        <w:tab w:val="right" w:pos="8640" w:leader="none"/>
      </w:tabs>
      <w:bidi w:val="0"/>
      <w:spacing w:lineRule="auto" w:line="240"/>
      <w:ind w:left="-510" w:right="0" w:hanging="0"/>
      <w:jc w:val="center"/>
      <w:rPr/>
    </w:pPr>
    <w:r>
      <w:rPr/>
      <w:drawing>
        <wp:inline distT="0" distB="0" distL="0" distR="0">
          <wp:extent cx="4747895" cy="1287145"/>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1"/>
                  <a:stretch>
                    <a:fillRect/>
                  </a:stretch>
                </pic:blipFill>
                <pic:spPr bwMode="auto">
                  <a:xfrm>
                    <a:off x="0" y="0"/>
                    <a:ext cx="4747895" cy="1287145"/>
                  </a:xfrm>
                  <a:prstGeom prst="rect">
                    <a:avLst/>
                  </a:prstGeom>
                </pic:spPr>
              </pic:pic>
            </a:graphicData>
          </a:graphic>
        </wp:inline>
      </w:drawing>
      <w:drawing>
        <wp:anchor behindDoc="1" distT="0" distB="0" distL="0" distR="0" simplePos="0" locked="0" layoutInCell="1" allowOverlap="1" relativeHeight="10">
          <wp:simplePos x="0" y="0"/>
          <wp:positionH relativeFrom="column">
            <wp:posOffset>5076190</wp:posOffset>
          </wp:positionH>
          <wp:positionV relativeFrom="paragraph">
            <wp:posOffset>635</wp:posOffset>
          </wp:positionV>
          <wp:extent cx="1569085" cy="1289685"/>
          <wp:effectExtent l="0" t="0" r="0" b="0"/>
          <wp:wrapSquare wrapText="largest"/>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2"/>
                  <a:stretch>
                    <a:fillRect/>
                  </a:stretch>
                </pic:blipFill>
                <pic:spPr bwMode="auto">
                  <a:xfrm>
                    <a:off x="0" y="0"/>
                    <a:ext cx="1569085" cy="1289685"/>
                  </a:xfrm>
                  <a:prstGeom prst="rect">
                    <a:avLst/>
                  </a:prstGeom>
                </pic:spPr>
              </pic:pic>
            </a:graphicData>
          </a:graphic>
        </wp:anchor>
      </w:drawing>
    </w:r>
  </w:p>
</w:hdr>
</file>

<file path=word/settings.xml><?xml version="1.0" encoding="utf-8"?>
<w:settings xmlns:w="http://schemas.openxmlformats.org/wordprocessingml/2006/main">
  <w:zoom w:percent="15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Cs w:val="22"/>
        <w:lang w:val="pt-BR" w:eastAsia="pt-BR" w:bidi="ar-SA"/>
      </w:rPr>
    </w:rPrDefault>
    <w:pPrDefault>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jc w:val="left"/>
    </w:pPr>
    <w:rPr>
      <w:rFonts w:ascii="Arial" w:hAnsi="Arial" w:eastAsia="Arial" w:cs="Arial"/>
      <w:color w:val="00000A"/>
      <w:sz w:val="22"/>
      <w:szCs w:val="22"/>
      <w:lang w:val="pt-BR" w:eastAsia="pt-BR" w:bidi="ar-SA"/>
    </w:rPr>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083e17"/>
    <w:rPr>
      <w:sz w:val="16"/>
      <w:szCs w:val="16"/>
    </w:rPr>
  </w:style>
  <w:style w:type="character" w:styleId="CommentTextChar" w:customStyle="1">
    <w:name w:val="Comment Text Char"/>
    <w:basedOn w:val="DefaultParagraphFont"/>
    <w:link w:val="CommentText"/>
    <w:uiPriority w:val="99"/>
    <w:qFormat/>
    <w:rsid w:val="00083e17"/>
    <w:rPr>
      <w:sz w:val="20"/>
      <w:szCs w:val="20"/>
    </w:rPr>
  </w:style>
  <w:style w:type="character" w:styleId="CommentSubjectChar" w:customStyle="1">
    <w:name w:val="Comment Subject Char"/>
    <w:basedOn w:val="CommentTextChar"/>
    <w:link w:val="CommentSubject"/>
    <w:uiPriority w:val="99"/>
    <w:semiHidden/>
    <w:qFormat/>
    <w:rsid w:val="00083e17"/>
    <w:rPr>
      <w:b/>
      <w:bCs/>
      <w:sz w:val="20"/>
      <w:szCs w:val="20"/>
    </w:rPr>
  </w:style>
  <w:style w:type="character" w:styleId="HeaderChar" w:customStyle="1">
    <w:name w:val="Header Char"/>
    <w:basedOn w:val="DefaultParagraphFont"/>
    <w:link w:val="Header"/>
    <w:uiPriority w:val="99"/>
    <w:qFormat/>
    <w:rsid w:val="000f6e0c"/>
    <w:rPr/>
  </w:style>
  <w:style w:type="character" w:styleId="FooterChar" w:customStyle="1">
    <w:name w:val="Footer Char"/>
    <w:basedOn w:val="DefaultParagraphFont"/>
    <w:link w:val="Footer"/>
    <w:uiPriority w:val="99"/>
    <w:qFormat/>
    <w:rsid w:val="000f6e0c"/>
    <w:rPr/>
  </w:style>
  <w:style w:type="character" w:styleId="BalloonTextChar" w:customStyle="1">
    <w:name w:val="Balloon Text Char"/>
    <w:basedOn w:val="DefaultParagraphFont"/>
    <w:link w:val="BalloonText"/>
    <w:uiPriority w:val="99"/>
    <w:semiHidden/>
    <w:qFormat/>
    <w:rsid w:val="000f6e0c"/>
    <w:rPr>
      <w:rFonts w:ascii="Lucida Grande" w:hAnsi="Lucida Grande" w:cs="Lucida Grande"/>
      <w:sz w:val="18"/>
      <w:szCs w:val="18"/>
    </w:rPr>
  </w:style>
  <w:style w:type="character" w:styleId="Strong">
    <w:name w:val="Strong"/>
    <w:basedOn w:val="DefaultParagraphFont"/>
    <w:uiPriority w:val="22"/>
    <w:qFormat/>
    <w:rsid w:val="00623e7b"/>
    <w:rPr>
      <w:b/>
      <w:bCs/>
    </w:rPr>
  </w:style>
  <w:style w:type="character" w:styleId="LinkdaInternet">
    <w:name w:val="Link da Internet"/>
    <w:basedOn w:val="DefaultParagraphFont"/>
    <w:uiPriority w:val="99"/>
    <w:unhideWhenUsed/>
    <w:rsid w:val="00935c25"/>
    <w:rPr>
      <w:color w:val="0000FF" w:themeColor="hyperlink"/>
      <w:u w:val="single"/>
    </w:rPr>
  </w:style>
  <w:style w:type="character" w:styleId="ListLabel1">
    <w:name w:val="ListLabel 1"/>
    <w:qFormat/>
    <w:rPr>
      <w:u w:val="none"/>
    </w:rPr>
  </w:style>
  <w:style w:type="character" w:styleId="ListLabel2">
    <w:name w:val="ListLabel 2"/>
    <w:qFormat/>
    <w:rPr>
      <w:u w:val="none"/>
    </w:rPr>
  </w:style>
  <w:style w:type="character" w:styleId="ListLabel3">
    <w:name w:val="ListLabel 3"/>
    <w:qFormat/>
    <w:rPr>
      <w:u w:val="none"/>
    </w:rPr>
  </w:style>
  <w:style w:type="character" w:styleId="ListLabel4">
    <w:name w:val="ListLabel 4"/>
    <w:qFormat/>
    <w:rPr>
      <w:u w:val="none"/>
    </w:rPr>
  </w:style>
  <w:style w:type="character" w:styleId="ListLabel5">
    <w:name w:val="ListLabel 5"/>
    <w:qFormat/>
    <w:rPr>
      <w:u w:val="none"/>
    </w:rPr>
  </w:style>
  <w:style w:type="character" w:styleId="ListLabel6">
    <w:name w:val="ListLabel 6"/>
    <w:qFormat/>
    <w:rPr>
      <w:u w:val="none"/>
    </w:rPr>
  </w:style>
  <w:style w:type="character" w:styleId="ListLabel7">
    <w:name w:val="ListLabel 7"/>
    <w:qFormat/>
    <w:rPr>
      <w:u w:val="none"/>
    </w:rPr>
  </w:style>
  <w:style w:type="character" w:styleId="ListLabel8">
    <w:name w:val="ListLabel 8"/>
    <w:qFormat/>
    <w:rPr>
      <w:u w:val="none"/>
    </w:rPr>
  </w:style>
  <w:style w:type="character" w:styleId="ListLabel9">
    <w:name w:val="ListLabel 9"/>
    <w:qFormat/>
    <w:rPr>
      <w:u w:val="none"/>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Ttulododocumento">
    <w:name w:val="Title"/>
    <w:basedOn w:val="Normal"/>
    <w:next w:val="Normal"/>
    <w:uiPriority w:val="10"/>
    <w:qFormat/>
    <w:pPr>
      <w:keepNext/>
      <w:keepLines/>
      <w:spacing w:before="0" w:after="60"/>
    </w:pPr>
    <w:rPr>
      <w:sz w:val="52"/>
      <w:szCs w:val="52"/>
    </w:rPr>
  </w:style>
  <w:style w:type="paragraph" w:styleId="Subttulo">
    <w:name w:val="Subtitle"/>
    <w:basedOn w:val="Normal"/>
    <w:next w:val="Normal"/>
    <w:uiPriority w:val="11"/>
    <w:qFormat/>
    <w:pPr>
      <w:keepNext/>
      <w:keepLines/>
      <w:spacing w:before="0" w:after="320"/>
    </w:pPr>
    <w:rPr>
      <w:color w:val="666666"/>
      <w:sz w:val="30"/>
      <w:szCs w:val="30"/>
    </w:rPr>
  </w:style>
  <w:style w:type="paragraph" w:styleId="Revision">
    <w:name w:val="Revision"/>
    <w:uiPriority w:val="99"/>
    <w:semiHidden/>
    <w:qFormat/>
    <w:rsid w:val="00083e17"/>
    <w:pPr>
      <w:widowControl/>
      <w:bidi w:val="0"/>
      <w:spacing w:lineRule="auto" w:line="240"/>
      <w:jc w:val="left"/>
    </w:pPr>
    <w:rPr>
      <w:rFonts w:ascii="Arial" w:hAnsi="Arial" w:eastAsia="Arial" w:cs="Arial"/>
      <w:color w:val="00000A"/>
      <w:sz w:val="22"/>
      <w:szCs w:val="22"/>
      <w:lang w:val="pt-BR" w:eastAsia="pt-BR" w:bidi="ar-SA"/>
    </w:rPr>
  </w:style>
  <w:style w:type="paragraph" w:styleId="Annotationtext">
    <w:name w:val="annotation text"/>
    <w:basedOn w:val="Normal"/>
    <w:link w:val="CommentTextChar"/>
    <w:uiPriority w:val="99"/>
    <w:unhideWhenUsed/>
    <w:qFormat/>
    <w:rsid w:val="00083e17"/>
    <w:pPr>
      <w:spacing w:lineRule="auto" w:line="240"/>
    </w:pPr>
    <w:rPr>
      <w:sz w:val="20"/>
      <w:szCs w:val="20"/>
    </w:rPr>
  </w:style>
  <w:style w:type="paragraph" w:styleId="Annotationsubject">
    <w:name w:val="annotation subject"/>
    <w:basedOn w:val="Annotationtext"/>
    <w:link w:val="CommentSubjectChar"/>
    <w:uiPriority w:val="99"/>
    <w:semiHidden/>
    <w:unhideWhenUsed/>
    <w:qFormat/>
    <w:rsid w:val="00083e17"/>
    <w:pPr/>
    <w:rPr>
      <w:b/>
      <w:bCs/>
    </w:rPr>
  </w:style>
  <w:style w:type="paragraph" w:styleId="Cabealho">
    <w:name w:val="Header"/>
    <w:basedOn w:val="Normal"/>
    <w:link w:val="HeaderChar"/>
    <w:uiPriority w:val="99"/>
    <w:unhideWhenUsed/>
    <w:rsid w:val="000f6e0c"/>
    <w:pPr>
      <w:tabs>
        <w:tab w:val="center" w:pos="4320" w:leader="none"/>
        <w:tab w:val="right" w:pos="8640" w:leader="none"/>
      </w:tabs>
      <w:spacing w:lineRule="auto" w:line="240"/>
    </w:pPr>
    <w:rPr/>
  </w:style>
  <w:style w:type="paragraph" w:styleId="Rodap">
    <w:name w:val="Footer"/>
    <w:basedOn w:val="Normal"/>
    <w:link w:val="FooterChar"/>
    <w:uiPriority w:val="99"/>
    <w:unhideWhenUsed/>
    <w:rsid w:val="000f6e0c"/>
    <w:pPr>
      <w:tabs>
        <w:tab w:val="center" w:pos="4320" w:leader="none"/>
        <w:tab w:val="right" w:pos="8640" w:leader="none"/>
      </w:tabs>
      <w:spacing w:lineRule="auto" w:line="240"/>
    </w:pPr>
    <w:rPr/>
  </w:style>
  <w:style w:type="paragraph" w:styleId="BalloonText">
    <w:name w:val="Balloon Text"/>
    <w:basedOn w:val="Normal"/>
    <w:link w:val="BalloonTextChar"/>
    <w:uiPriority w:val="99"/>
    <w:semiHidden/>
    <w:unhideWhenUsed/>
    <w:qFormat/>
    <w:rsid w:val="000f6e0c"/>
    <w:pPr>
      <w:spacing w:lineRule="auto" w:line="240"/>
    </w:pPr>
    <w:rPr>
      <w:rFonts w:ascii="Lucida Grande" w:hAnsi="Lucida Grande" w:cs="Lucida Grande"/>
      <w:sz w:val="18"/>
      <w:szCs w:val="18"/>
    </w:rPr>
  </w:style>
  <w:style w:type="paragraph" w:styleId="Textojustificado" w:customStyle="1">
    <w:name w:val="texto_justificado"/>
    <w:basedOn w:val="Normal"/>
    <w:qFormat/>
    <w:rsid w:val="007f130e"/>
    <w:pPr>
      <w:spacing w:lineRule="auto" w:line="240" w:beforeAutospacing="1" w:afterAutospacing="1"/>
    </w:pPr>
    <w:rPr>
      <w:rFonts w:ascii="Times New Roman" w:hAnsi="Times New Roman" w:eastAsia="Times New Roman" w:cs="Times New Roman"/>
      <w:sz w:val="24"/>
      <w:szCs w:val="24"/>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customStyle="1" w:styleId="TableNormal1">
    <w:name w:val="Table Normal1"/>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vgsul.sp.gov.br/" TargetMode="External"/><Relationship Id="rId3" Type="http://schemas.openxmlformats.org/officeDocument/2006/relationships/hyperlink" Target="http://www.vgsul.sp.gov.br/" TargetMode="External"/><Relationship Id="rId4" Type="http://schemas.openxmlformats.org/officeDocument/2006/relationships/hyperlink" Target="mailto:grupo.cultura@vgsul.sp.gov.br" TargetMode="External"/><Relationship Id="rId5" Type="http://schemas.openxmlformats.org/officeDocument/2006/relationships/hyperlink" Target="http://www.vgsul.sp.gov.br/" TargetMode="External"/><Relationship Id="rId6" Type="http://schemas.openxmlformats.org/officeDocument/2006/relationships/hyperlink" Target="http://www.vgsul.sp.gov.br/"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3.png"/>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Application>LibreOffice/5.3.0.3$Windows_x86 LibreOffice_project/7074905676c47b82bbcfbea1aeefc84afe1c50e1</Application>
  <Pages>9</Pages>
  <Words>2762</Words>
  <Characters>15155</Characters>
  <CharactersWithSpaces>17826</CharactersWithSpaces>
  <Paragraphs>138</Paragraphs>
  <Company>MTUR</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2023-07-11T16:13:00Z</dcterms:created>
  <dc:creator>Maria Eduarda Domingues Miranda Brandão</dc:creator>
  <dc:description/>
  <dc:language>pt-BR</dc:language>
  <cp:lastModifiedBy/>
  <cp:lastPrinted>2024-04-05T09:34:44Z</cp:lastPrinted>
  <dcterms:modified xsi:type="dcterms:W3CDTF">2024-05-15T13:22:59Z</dcterms:modified>
  <cp:revision>82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MTUR</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